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lledutableau"/>
        <w:tblpPr w:leftFromText="141" w:rightFromText="141" w:horzAnchor="margin" w:tblpY="136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3119"/>
      </w:tblGrid>
      <w:tr w:rsidR="00661A24" w14:paraId="2218F35F" w14:textId="77777777">
        <w:tc>
          <w:tcPr>
            <w:tcW w:w="3118" w:type="dxa"/>
          </w:tcPr>
          <w:p w14:paraId="4E80BD14" w14:textId="77777777" w:rsidR="00661A24" w:rsidRDefault="00661A24">
            <w:pPr>
              <w:spacing w:after="120"/>
              <w:rPr>
                <w:rFonts w:ascii="Marianne" w:hAnsi="Marianne" w:cs="Arial"/>
                <w:b/>
                <w:color w:val="3CB6EC"/>
                <w:sz w:val="40"/>
                <w:szCs w:val="40"/>
              </w:rPr>
            </w:pPr>
          </w:p>
        </w:tc>
        <w:tc>
          <w:tcPr>
            <w:tcW w:w="3119" w:type="dxa"/>
          </w:tcPr>
          <w:p w14:paraId="3BE28088" w14:textId="77777777" w:rsidR="00661A24" w:rsidRDefault="00661A24">
            <w:pPr>
              <w:spacing w:after="120"/>
              <w:rPr>
                <w:rFonts w:ascii="Marianne" w:hAnsi="Marianne" w:cs="Arial"/>
                <w:b/>
                <w:color w:val="3CB6EC"/>
                <w:sz w:val="40"/>
                <w:szCs w:val="40"/>
              </w:rPr>
            </w:pPr>
          </w:p>
        </w:tc>
        <w:tc>
          <w:tcPr>
            <w:tcW w:w="3119" w:type="dxa"/>
          </w:tcPr>
          <w:p w14:paraId="7B69BA31" w14:textId="77777777" w:rsidR="00661A24" w:rsidRDefault="00661A24">
            <w:pPr>
              <w:spacing w:after="120"/>
              <w:rPr>
                <w:rFonts w:ascii="Marianne" w:hAnsi="Marianne" w:cs="Arial"/>
                <w:b/>
                <w:color w:val="3CB6EC"/>
                <w:sz w:val="40"/>
                <w:szCs w:val="40"/>
              </w:rPr>
            </w:pPr>
          </w:p>
        </w:tc>
      </w:tr>
    </w:tbl>
    <w:p w14:paraId="323D49DF" w14:textId="77777777" w:rsidR="00661A24" w:rsidRDefault="00661A24">
      <w:pPr>
        <w:spacing w:after="120"/>
        <w:jc w:val="center"/>
        <w:rPr>
          <w:rFonts w:ascii="Marianne" w:hAnsi="Marianne"/>
          <w:b/>
          <w:color w:val="3CB6EC"/>
          <w:sz w:val="40"/>
          <w:szCs w:val="40"/>
        </w:rPr>
      </w:pPr>
      <w:bookmarkStart w:id="0" w:name="gjdgxs" w:colFirst="0" w:colLast="0"/>
      <w:bookmarkEnd w:id="0"/>
    </w:p>
    <w:p w14:paraId="7447B8FD" w14:textId="77777777" w:rsidR="00661A24" w:rsidRDefault="00661A24">
      <w:pPr>
        <w:spacing w:after="120"/>
        <w:jc w:val="center"/>
        <w:rPr>
          <w:rFonts w:ascii="Marianne" w:hAnsi="Marianne"/>
          <w:b/>
          <w:color w:val="3CB6EC"/>
          <w:sz w:val="40"/>
          <w:szCs w:val="40"/>
        </w:rPr>
      </w:pPr>
    </w:p>
    <w:p w14:paraId="7E90BEF6" w14:textId="77777777" w:rsidR="00661A24" w:rsidRDefault="00AD6DC1">
      <w:pPr>
        <w:spacing w:after="120"/>
        <w:jc w:val="center"/>
        <w:rPr>
          <w:rFonts w:ascii="Marianne" w:hAnsi="Marianne"/>
          <w:b/>
          <w:color w:val="3CB6EC"/>
          <w:sz w:val="40"/>
          <w:szCs w:val="40"/>
        </w:rPr>
      </w:pPr>
      <w:r>
        <w:rPr>
          <w:rFonts w:ascii="Marianne" w:hAnsi="Marianne"/>
          <w:b/>
          <w:noProof/>
          <w:color w:val="3CB6EC"/>
          <w:sz w:val="40"/>
          <w:szCs w:val="40"/>
        </w:rPr>
        <w:drawing>
          <wp:anchor distT="0" distB="0" distL="114300" distR="114300" simplePos="0" relativeHeight="251658240" behindDoc="0" locked="0" layoutInCell="1" allowOverlap="1" wp14:anchorId="58E66D14" wp14:editId="1AF36ECF">
            <wp:simplePos x="0" y="0"/>
            <wp:positionH relativeFrom="column">
              <wp:posOffset>2322195</wp:posOffset>
            </wp:positionH>
            <wp:positionV relativeFrom="paragraph">
              <wp:posOffset>508000</wp:posOffset>
            </wp:positionV>
            <wp:extent cx="1031875" cy="101219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bleu-rou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875" cy="1012190"/>
                    </a:xfrm>
                    <a:prstGeom prst="rect">
                      <a:avLst/>
                    </a:prstGeom>
                  </pic:spPr>
                </pic:pic>
              </a:graphicData>
            </a:graphic>
            <wp14:sizeRelH relativeFrom="page">
              <wp14:pctWidth>0</wp14:pctWidth>
            </wp14:sizeRelH>
            <wp14:sizeRelV relativeFrom="page">
              <wp14:pctHeight>0</wp14:pctHeight>
            </wp14:sizeRelV>
          </wp:anchor>
        </w:drawing>
      </w:r>
    </w:p>
    <w:p w14:paraId="11FAE9B7" w14:textId="77777777" w:rsidR="00661A24" w:rsidRDefault="00661A24">
      <w:pPr>
        <w:spacing w:after="120"/>
        <w:jc w:val="center"/>
        <w:rPr>
          <w:rFonts w:ascii="Marianne" w:hAnsi="Marianne"/>
          <w:b/>
          <w:color w:val="002060"/>
          <w:sz w:val="40"/>
          <w:szCs w:val="40"/>
        </w:rPr>
      </w:pPr>
    </w:p>
    <w:p w14:paraId="61E4DF2E" w14:textId="77777777" w:rsidR="00661A24" w:rsidRDefault="00661A24">
      <w:pPr>
        <w:spacing w:after="120"/>
        <w:jc w:val="center"/>
        <w:rPr>
          <w:rFonts w:ascii="Marianne" w:hAnsi="Marianne"/>
          <w:b/>
          <w:color w:val="002060"/>
          <w:sz w:val="40"/>
          <w:szCs w:val="40"/>
        </w:rPr>
      </w:pPr>
    </w:p>
    <w:p w14:paraId="2452CF6A" w14:textId="77777777" w:rsidR="00661A24" w:rsidRDefault="00661A24">
      <w:pPr>
        <w:spacing w:after="120"/>
        <w:jc w:val="center"/>
        <w:rPr>
          <w:rFonts w:ascii="Marianne" w:hAnsi="Marianne"/>
          <w:b/>
          <w:color w:val="002060"/>
          <w:sz w:val="40"/>
          <w:szCs w:val="40"/>
        </w:rPr>
      </w:pPr>
    </w:p>
    <w:p w14:paraId="17EBD7F9" w14:textId="5A63531A" w:rsidR="00661A24" w:rsidRDefault="00661A24">
      <w:pPr>
        <w:spacing w:after="120"/>
        <w:jc w:val="center"/>
        <w:rPr>
          <w:rFonts w:ascii="Marianne" w:hAnsi="Marianne"/>
          <w:b/>
          <w:color w:val="002060"/>
          <w:sz w:val="40"/>
          <w:szCs w:val="40"/>
        </w:rPr>
      </w:pPr>
    </w:p>
    <w:p w14:paraId="4DC9235A" w14:textId="77777777" w:rsidR="00661A24" w:rsidRDefault="00661A24">
      <w:pPr>
        <w:spacing w:after="120"/>
        <w:jc w:val="center"/>
        <w:rPr>
          <w:rFonts w:ascii="Marianne" w:hAnsi="Marianne"/>
          <w:b/>
          <w:color w:val="002060"/>
          <w:sz w:val="40"/>
          <w:szCs w:val="40"/>
        </w:rPr>
      </w:pPr>
    </w:p>
    <w:p w14:paraId="385E20DE" w14:textId="77777777" w:rsidR="00661A24" w:rsidRDefault="00AD6DC1">
      <w:pPr>
        <w:spacing w:after="120"/>
        <w:jc w:val="center"/>
        <w:rPr>
          <w:rFonts w:ascii="Marianne" w:hAnsi="Marianne"/>
          <w:b/>
          <w:color w:val="002060"/>
          <w:sz w:val="40"/>
          <w:szCs w:val="40"/>
        </w:rPr>
      </w:pPr>
      <w:r>
        <w:rPr>
          <w:rFonts w:ascii="Marianne" w:hAnsi="Marianne"/>
          <w:b/>
          <w:color w:val="002060"/>
          <w:sz w:val="40"/>
          <w:szCs w:val="40"/>
        </w:rPr>
        <w:t>France 2030</w:t>
      </w:r>
    </w:p>
    <w:p w14:paraId="0E1FB114" w14:textId="77777777" w:rsidR="00661A24" w:rsidRDefault="00661A24">
      <w:pPr>
        <w:spacing w:after="120"/>
        <w:jc w:val="center"/>
        <w:rPr>
          <w:rFonts w:ascii="Marianne" w:hAnsi="Marianne"/>
          <w:b/>
          <w:color w:val="002060"/>
          <w:sz w:val="24"/>
          <w:szCs w:val="24"/>
        </w:rPr>
      </w:pPr>
    </w:p>
    <w:p w14:paraId="70D90A3B" w14:textId="77777777" w:rsidR="00661A24" w:rsidRDefault="00AD6DC1">
      <w:pPr>
        <w:spacing w:after="120"/>
        <w:jc w:val="center"/>
        <w:rPr>
          <w:rFonts w:ascii="Marianne" w:hAnsi="Marianne"/>
          <w:color w:val="002060"/>
          <w:sz w:val="32"/>
          <w:szCs w:val="40"/>
        </w:rPr>
      </w:pPr>
      <w:r>
        <w:rPr>
          <w:rFonts w:ascii="Marianne" w:hAnsi="Marianne"/>
          <w:color w:val="002060"/>
          <w:sz w:val="32"/>
          <w:szCs w:val="40"/>
        </w:rPr>
        <w:t>Appel à projets national :</w:t>
      </w:r>
      <w:r>
        <w:rPr>
          <w:rFonts w:ascii="Marianne" w:hAnsi="Marianne"/>
          <w:color w:val="002060"/>
          <w:sz w:val="32"/>
          <w:szCs w:val="40"/>
        </w:rPr>
        <w:br/>
        <w:t xml:space="preserve"> « Innov Eau »</w:t>
      </w:r>
    </w:p>
    <w:p w14:paraId="516A5B97" w14:textId="77777777" w:rsidR="00661A24" w:rsidRDefault="00661A24">
      <w:pPr>
        <w:spacing w:after="120"/>
        <w:jc w:val="center"/>
        <w:rPr>
          <w:rFonts w:ascii="Marianne" w:hAnsi="Marianne"/>
          <w:b/>
          <w:color w:val="3CB6EC"/>
          <w:sz w:val="24"/>
          <w:szCs w:val="24"/>
        </w:rPr>
      </w:pPr>
    </w:p>
    <w:p w14:paraId="784887E5" w14:textId="77777777" w:rsidR="00661A24" w:rsidRDefault="00AD6DC1">
      <w:pPr>
        <w:pStyle w:val="Default"/>
        <w:jc w:val="both"/>
        <w:rPr>
          <w:rFonts w:ascii="Marianne" w:hAnsi="Marianne"/>
          <w:b/>
          <w:bCs/>
          <w:color w:val="auto"/>
          <w:sz w:val="22"/>
          <w:szCs w:val="22"/>
        </w:rPr>
      </w:pPr>
      <w:r>
        <w:rPr>
          <w:rFonts w:ascii="Marianne" w:hAnsi="Marianne"/>
          <w:b/>
          <w:bCs/>
          <w:sz w:val="22"/>
          <w:szCs w:val="22"/>
        </w:rPr>
        <w:t xml:space="preserve">Cet appel à projets (ci-après « </w:t>
      </w:r>
      <w:r>
        <w:rPr>
          <w:rFonts w:ascii="Marianne" w:hAnsi="Marianne"/>
          <w:b/>
          <w:bCs/>
          <w:color w:val="auto"/>
          <w:sz w:val="22"/>
          <w:szCs w:val="22"/>
        </w:rPr>
        <w:t>l’AAP ») est ouvert à compter du 13/07/2023 et fera l’objet d’une première relève le 04/12/2023 à 15h00 (GMT+1).</w:t>
      </w:r>
    </w:p>
    <w:p w14:paraId="11924671" w14:textId="77777777" w:rsidR="00661A24" w:rsidRDefault="00AD6DC1">
      <w:pPr>
        <w:spacing w:after="120"/>
        <w:rPr>
          <w:rFonts w:ascii="Marianne" w:hAnsi="Marianne"/>
          <w:b/>
          <w:bCs/>
        </w:rPr>
      </w:pPr>
      <w:r>
        <w:rPr>
          <w:rFonts w:ascii="Marianne" w:hAnsi="Marianne"/>
          <w:b/>
          <w:bCs/>
        </w:rPr>
        <w:t>Le calendrier des relèves successives est précisé en Annexe A.</w:t>
      </w:r>
    </w:p>
    <w:p w14:paraId="33A52668" w14:textId="77777777" w:rsidR="00661A24" w:rsidRDefault="00661A24">
      <w:pPr>
        <w:spacing w:after="120"/>
        <w:rPr>
          <w:rFonts w:ascii="Marianne" w:hAnsi="Marianne"/>
          <w:b/>
          <w:bCs/>
        </w:rPr>
      </w:pPr>
    </w:p>
    <w:p w14:paraId="33B25CEF" w14:textId="77777777" w:rsidR="00E3167C" w:rsidRDefault="00E3167C" w:rsidP="00E3167C">
      <w:pPr>
        <w:rPr>
          <w:rFonts w:ascii="Marianne" w:hAnsi="Marianne"/>
          <w:i/>
          <w:iCs/>
          <w:color w:val="10253F"/>
        </w:rPr>
      </w:pPr>
      <w:r>
        <w:rPr>
          <w:rFonts w:ascii="Marianne" w:hAnsi="Marianne"/>
          <w:i/>
          <w:iCs/>
          <w:color w:val="10253F"/>
        </w:rPr>
        <w:t>L’ADEME se réserve le droit de clore l’appel à projets avant cette date, notamment en raison du niveau de consommation de l’enveloppe allouée, en application d’un arrêté de la Première ministre pris sur avis du Secrétariat général pour l’investissement (SGPI). Les informations actualisées seront publiées sur le site de l’AAP.</w:t>
      </w:r>
    </w:p>
    <w:p w14:paraId="03A08173" w14:textId="4042B4C6" w:rsidR="00661A24" w:rsidRDefault="00E3167C">
      <w:pPr>
        <w:rPr>
          <w:rFonts w:ascii="Marianne" w:hAnsi="Marianne"/>
        </w:rPr>
      </w:pPr>
      <w:r w:rsidRPr="00BD3841">
        <w:rPr>
          <w:rFonts w:ascii="Marianne" w:hAnsi="Marianne"/>
          <w:i/>
          <w:iCs/>
          <w:color w:val="10253F"/>
        </w:rPr>
        <w:t>Les modalités d’aides devront être conformes</w:t>
      </w:r>
      <w:r>
        <w:rPr>
          <w:rFonts w:ascii="Marianne" w:hAnsi="Marianne"/>
          <w:i/>
          <w:iCs/>
          <w:color w:val="10253F"/>
        </w:rPr>
        <w:t xml:space="preserve"> aux régimes d’aides européens en vigueur. L</w:t>
      </w:r>
      <w:r w:rsidRPr="00BD3841">
        <w:rPr>
          <w:rFonts w:ascii="Marianne" w:hAnsi="Marianne"/>
          <w:i/>
          <w:iCs/>
          <w:color w:val="10253F"/>
        </w:rPr>
        <w:t xml:space="preserve">’ADEME se réserve donc la possibilité de mobiliser d’autres régimes cadre au regard de l’évolution des encadrements communautaires ou des régimes d’aides applicables. </w:t>
      </w:r>
      <w:r w:rsidR="00AD6DC1">
        <w:rPr>
          <w:rFonts w:ascii="Marianne" w:hAnsi="Marianne"/>
        </w:rPr>
        <w:br w:type="page"/>
      </w:r>
    </w:p>
    <w:p w14:paraId="3F92C5A9" w14:textId="77777777" w:rsidR="00661A24" w:rsidRDefault="00AD6DC1">
      <w:pPr>
        <w:pStyle w:val="Titre1"/>
        <w:numPr>
          <w:ilvl w:val="0"/>
          <w:numId w:val="0"/>
        </w:numPr>
        <w:spacing w:before="0" w:after="120" w:line="240" w:lineRule="auto"/>
        <w:ind w:left="432" w:hanging="432"/>
        <w:rPr>
          <w:rFonts w:ascii="Marianne" w:hAnsi="Marianne"/>
          <w:color w:val="002060"/>
        </w:rPr>
      </w:pPr>
      <w:bookmarkStart w:id="1" w:name="_Toc97203088"/>
      <w:bookmarkStart w:id="2" w:name="_Toc109112626"/>
      <w:bookmarkStart w:id="3" w:name="_Toc140092154"/>
      <w:r>
        <w:rPr>
          <w:rFonts w:ascii="Marianne" w:hAnsi="Marianne"/>
          <w:color w:val="002060"/>
        </w:rPr>
        <w:lastRenderedPageBreak/>
        <w:t>Fiche synthétique de l’appel à projet</w:t>
      </w:r>
      <w:bookmarkEnd w:id="1"/>
      <w:bookmarkEnd w:id="2"/>
      <w:bookmarkEnd w:id="3"/>
    </w:p>
    <w:p w14:paraId="7CB5B6AA" w14:textId="77777777" w:rsidR="00661A24" w:rsidRDefault="00661A24"/>
    <w:tbl>
      <w:tblPr>
        <w:tblStyle w:val="Grilledutableau"/>
        <w:tblW w:w="9060" w:type="dxa"/>
        <w:tblLook w:val="04A0" w:firstRow="1" w:lastRow="0" w:firstColumn="1" w:lastColumn="0" w:noHBand="0" w:noVBand="1"/>
      </w:tblPr>
      <w:tblGrid>
        <w:gridCol w:w="2546"/>
        <w:gridCol w:w="6514"/>
      </w:tblGrid>
      <w:tr w:rsidR="00661A24" w14:paraId="10B40E2B" w14:textId="77777777">
        <w:tc>
          <w:tcPr>
            <w:tcW w:w="2546" w:type="dxa"/>
          </w:tcPr>
          <w:p w14:paraId="622D8287" w14:textId="77777777" w:rsidR="00661A24" w:rsidRDefault="00AD6DC1">
            <w:pPr>
              <w:pStyle w:val="Sansinterligne"/>
              <w:rPr>
                <w:rFonts w:ascii="Marianne" w:hAnsi="Marianne"/>
                <w:b/>
                <w:sz w:val="18"/>
              </w:rPr>
            </w:pPr>
            <w:r>
              <w:rPr>
                <w:rFonts w:ascii="Marianne" w:hAnsi="Marianne"/>
                <w:b/>
                <w:sz w:val="18"/>
              </w:rPr>
              <w:t>Nom de l’AAP</w:t>
            </w:r>
          </w:p>
        </w:tc>
        <w:tc>
          <w:tcPr>
            <w:tcW w:w="6514" w:type="dxa"/>
          </w:tcPr>
          <w:p w14:paraId="06F56F1B" w14:textId="77777777" w:rsidR="00661A24" w:rsidRDefault="00AD6DC1">
            <w:pPr>
              <w:pStyle w:val="Sansinterligne"/>
              <w:rPr>
                <w:rFonts w:ascii="Marianne" w:hAnsi="Marianne"/>
                <w:sz w:val="18"/>
              </w:rPr>
            </w:pPr>
            <w:r>
              <w:rPr>
                <w:rFonts w:ascii="Marianne" w:hAnsi="Marianne"/>
                <w:b/>
                <w:sz w:val="18"/>
              </w:rPr>
              <w:t>AAP Innov Eau</w:t>
            </w:r>
          </w:p>
        </w:tc>
      </w:tr>
      <w:tr w:rsidR="00661A24" w14:paraId="56BBD8E1" w14:textId="77777777">
        <w:tc>
          <w:tcPr>
            <w:tcW w:w="2546" w:type="dxa"/>
          </w:tcPr>
          <w:p w14:paraId="6690334D" w14:textId="2DAC874D" w:rsidR="00661A24" w:rsidRDefault="00AD6DC1">
            <w:pPr>
              <w:pStyle w:val="Sansinterligne"/>
              <w:rPr>
                <w:rFonts w:ascii="Marianne" w:hAnsi="Marianne"/>
                <w:b/>
                <w:sz w:val="18"/>
              </w:rPr>
            </w:pPr>
            <w:r>
              <w:rPr>
                <w:rFonts w:ascii="Marianne" w:hAnsi="Marianne"/>
                <w:b/>
                <w:sz w:val="18"/>
              </w:rPr>
              <w:t>Contac</w:t>
            </w:r>
            <w:r w:rsidR="00B02703">
              <w:rPr>
                <w:rFonts w:ascii="Marianne" w:hAnsi="Marianne"/>
                <w:b/>
                <w:sz w:val="18"/>
              </w:rPr>
              <w:t>t et dépôt des dossiers</w:t>
            </w:r>
          </w:p>
        </w:tc>
        <w:tc>
          <w:tcPr>
            <w:tcW w:w="6514" w:type="dxa"/>
          </w:tcPr>
          <w:p w14:paraId="20C063E0" w14:textId="301909AA" w:rsidR="00661A24" w:rsidRDefault="00AD6DC1" w:rsidP="00017521">
            <w:pPr>
              <w:pStyle w:val="Sansinterligne"/>
              <w:rPr>
                <w:rFonts w:ascii="Marianne" w:hAnsi="Marianne"/>
                <w:sz w:val="18"/>
              </w:rPr>
            </w:pPr>
            <w:r>
              <w:rPr>
                <w:rFonts w:ascii="Marianne" w:hAnsi="Marianne"/>
                <w:b/>
                <w:sz w:val="18"/>
              </w:rPr>
              <w:t xml:space="preserve">Modalités de dépôt : </w:t>
            </w:r>
            <w:r>
              <w:rPr>
                <w:rFonts w:ascii="Marianne" w:hAnsi="Marianne"/>
                <w:sz w:val="18"/>
              </w:rPr>
              <w:t>Par relève : dates précisées dans l’annexe A.</w:t>
            </w:r>
          </w:p>
          <w:p w14:paraId="0FC45601" w14:textId="77777777" w:rsidR="00661A24" w:rsidRDefault="00661A24">
            <w:pPr>
              <w:pStyle w:val="Sansinterligne"/>
              <w:rPr>
                <w:rFonts w:ascii="Marianne" w:hAnsi="Marianne"/>
                <w:b/>
                <w:sz w:val="18"/>
              </w:rPr>
            </w:pPr>
          </w:p>
          <w:p w14:paraId="7A241EBB" w14:textId="25E280FC" w:rsidR="00661A24" w:rsidRDefault="00AD6DC1">
            <w:pPr>
              <w:pStyle w:val="Sansinterligne"/>
              <w:rPr>
                <w:rFonts w:ascii="Marianne" w:hAnsi="Marianne"/>
                <w:b/>
                <w:color w:val="0000FF" w:themeColor="hyperlink"/>
                <w:u w:val="single"/>
              </w:rPr>
            </w:pPr>
            <w:r>
              <w:rPr>
                <w:rFonts w:ascii="Marianne" w:hAnsi="Marianne"/>
                <w:b/>
                <w:sz w:val="18"/>
              </w:rPr>
              <w:t>Le pré-dépôt (avec l’annexe 2) est obligatoire et à réaliser au minimum 1 mois avant le dépôt du dossier complet</w:t>
            </w:r>
            <w:r>
              <w:rPr>
                <w:rFonts w:ascii="Marianne" w:hAnsi="Marianne"/>
                <w:sz w:val="18"/>
              </w:rPr>
              <w:t xml:space="preserve">, en contactant l’adresse : </w:t>
            </w:r>
            <w:hyperlink r:id="rId9" w:history="1">
              <w:r w:rsidR="002808F7" w:rsidRPr="00846602">
                <w:rPr>
                  <w:rStyle w:val="Lienhypertexte"/>
                  <w:rFonts w:ascii="Marianne" w:hAnsi="Marianne"/>
                  <w:b/>
                  <w:sz w:val="18"/>
                  <w:szCs w:val="18"/>
                </w:rPr>
                <w:t>aap.innov-eau@ademe.fr</w:t>
              </w:r>
            </w:hyperlink>
          </w:p>
        </w:tc>
      </w:tr>
      <w:tr w:rsidR="00661A24" w14:paraId="2A1D801B" w14:textId="77777777">
        <w:tc>
          <w:tcPr>
            <w:tcW w:w="2546" w:type="dxa"/>
          </w:tcPr>
          <w:p w14:paraId="7F7C0DC5" w14:textId="77777777" w:rsidR="00661A24" w:rsidRDefault="00AD6DC1">
            <w:pPr>
              <w:pStyle w:val="Sansinterligne"/>
              <w:rPr>
                <w:rFonts w:ascii="Marianne" w:hAnsi="Marianne"/>
                <w:b/>
                <w:sz w:val="18"/>
              </w:rPr>
            </w:pPr>
            <w:r>
              <w:rPr>
                <w:rFonts w:ascii="Marianne" w:hAnsi="Marianne"/>
                <w:b/>
                <w:sz w:val="18"/>
              </w:rPr>
              <w:t>Objectifs</w:t>
            </w:r>
          </w:p>
        </w:tc>
        <w:tc>
          <w:tcPr>
            <w:tcW w:w="6514" w:type="dxa"/>
          </w:tcPr>
          <w:p w14:paraId="55293D32" w14:textId="77777777" w:rsidR="00661A24" w:rsidRDefault="00AD6DC1">
            <w:pPr>
              <w:pStyle w:val="Sansinterligne"/>
              <w:rPr>
                <w:rFonts w:ascii="Marianne" w:hAnsi="Marianne"/>
                <w:bCs/>
                <w:sz w:val="18"/>
              </w:rPr>
            </w:pPr>
            <w:r>
              <w:rPr>
                <w:rFonts w:ascii="Marianne" w:hAnsi="Marianne"/>
                <w:bCs/>
                <w:sz w:val="18"/>
              </w:rPr>
              <w:t>Accompagner les innovations dans le secteur de l’eau pour permettre d’accélérer les futures mises en marché de solutions visant à lever des verrous de gestion de l’eau, de maîtrise des usages, et de son traitement.</w:t>
            </w:r>
          </w:p>
        </w:tc>
      </w:tr>
      <w:tr w:rsidR="00661A24" w14:paraId="26BC48AF" w14:textId="77777777">
        <w:tc>
          <w:tcPr>
            <w:tcW w:w="2546" w:type="dxa"/>
          </w:tcPr>
          <w:p w14:paraId="48C85696" w14:textId="77777777" w:rsidR="00661A24" w:rsidRDefault="00AD6DC1">
            <w:pPr>
              <w:pStyle w:val="Sansinterligne"/>
              <w:rPr>
                <w:rFonts w:ascii="Marianne" w:hAnsi="Marianne"/>
                <w:b/>
                <w:sz w:val="18"/>
              </w:rPr>
            </w:pPr>
            <w:r>
              <w:rPr>
                <w:rFonts w:ascii="Marianne" w:hAnsi="Marianne"/>
                <w:b/>
                <w:sz w:val="18"/>
              </w:rPr>
              <w:t>Thématiques et minima des budgets des projets</w:t>
            </w:r>
          </w:p>
        </w:tc>
        <w:tc>
          <w:tcPr>
            <w:tcW w:w="6514" w:type="dxa"/>
            <w:shd w:val="clear" w:color="auto" w:fill="auto"/>
          </w:tcPr>
          <w:p w14:paraId="48AE9CF9" w14:textId="77777777" w:rsidR="00661A24" w:rsidRDefault="00AD6DC1">
            <w:pPr>
              <w:pStyle w:val="Sansinterligne"/>
              <w:rPr>
                <w:rFonts w:ascii="Marianne" w:hAnsi="Marianne"/>
                <w:sz w:val="18"/>
              </w:rPr>
            </w:pPr>
            <w:r w:rsidRPr="005537D1">
              <w:rPr>
                <w:rFonts w:ascii="Marianne" w:hAnsi="Marianne"/>
                <w:b/>
                <w:sz w:val="18"/>
              </w:rPr>
              <w:t>Thème 1</w:t>
            </w:r>
            <w:r>
              <w:rPr>
                <w:rFonts w:ascii="Marianne" w:hAnsi="Marianne"/>
                <w:sz w:val="18"/>
              </w:rPr>
              <w:t xml:space="preserve"> - Agir en amont sur la gestion de la ressource naturelle dans un contexte de changement climatique </w:t>
            </w:r>
          </w:p>
          <w:p w14:paraId="6DC8C62F" w14:textId="77777777" w:rsidR="00661A24" w:rsidRDefault="00AD6DC1">
            <w:pPr>
              <w:pStyle w:val="Sansinterligne"/>
              <w:rPr>
                <w:rFonts w:ascii="Marianne" w:hAnsi="Marianne"/>
                <w:sz w:val="18"/>
              </w:rPr>
            </w:pPr>
            <w:r w:rsidRPr="005537D1">
              <w:rPr>
                <w:rFonts w:ascii="Marianne" w:hAnsi="Marianne"/>
                <w:b/>
                <w:sz w:val="18"/>
              </w:rPr>
              <w:t>Thème 2</w:t>
            </w:r>
            <w:r>
              <w:rPr>
                <w:rFonts w:ascii="Marianne" w:hAnsi="Marianne"/>
                <w:sz w:val="18"/>
              </w:rPr>
              <w:t xml:space="preserve"> - Economiser la ressource : sécuriser l’acheminement en limitant efficacement les pertes hydriques et agir sur les usages de l’eau</w:t>
            </w:r>
          </w:p>
          <w:p w14:paraId="4A67EF16" w14:textId="77777777" w:rsidR="00661A24" w:rsidRDefault="00AD6DC1">
            <w:pPr>
              <w:pStyle w:val="Sansinterligne"/>
              <w:jc w:val="left"/>
              <w:rPr>
                <w:rFonts w:ascii="Marianne" w:hAnsi="Marianne"/>
                <w:sz w:val="18"/>
              </w:rPr>
            </w:pPr>
            <w:r w:rsidRPr="005537D1">
              <w:rPr>
                <w:rFonts w:ascii="Marianne" w:hAnsi="Marianne"/>
                <w:b/>
                <w:sz w:val="18"/>
              </w:rPr>
              <w:t>Thème 3</w:t>
            </w:r>
            <w:r>
              <w:rPr>
                <w:rFonts w:ascii="Marianne" w:hAnsi="Marianne"/>
                <w:sz w:val="18"/>
              </w:rPr>
              <w:t xml:space="preserve"> – Renforcer le traitement pour améliorer durablement la qualité de l’eau et des milieux</w:t>
            </w:r>
          </w:p>
          <w:p w14:paraId="104BFC22" w14:textId="77777777" w:rsidR="00661A24" w:rsidRDefault="00AD6DC1">
            <w:pPr>
              <w:pStyle w:val="Sansinterligne"/>
              <w:rPr>
                <w:rFonts w:ascii="Marianne" w:hAnsi="Marianne"/>
                <w:sz w:val="18"/>
              </w:rPr>
            </w:pPr>
            <w:r w:rsidRPr="005537D1">
              <w:rPr>
                <w:rFonts w:ascii="Marianne" w:hAnsi="Marianne"/>
                <w:b/>
                <w:sz w:val="18"/>
              </w:rPr>
              <w:t>Thème 4</w:t>
            </w:r>
            <w:r>
              <w:rPr>
                <w:rFonts w:ascii="Marianne" w:hAnsi="Marianne"/>
                <w:sz w:val="18"/>
              </w:rPr>
              <w:t xml:space="preserve"> –Transversal - Développer le numérique et la donnée</w:t>
            </w:r>
          </w:p>
          <w:p w14:paraId="4E144F5C" w14:textId="77777777" w:rsidR="00661A24" w:rsidRDefault="00661A24">
            <w:pPr>
              <w:pStyle w:val="Sansinterligne"/>
              <w:rPr>
                <w:rFonts w:ascii="Marianne" w:hAnsi="Marianne"/>
                <w:sz w:val="18"/>
              </w:rPr>
            </w:pPr>
          </w:p>
          <w:p w14:paraId="7C35604C" w14:textId="77777777" w:rsidR="00661A24" w:rsidRDefault="00AD6DC1">
            <w:pPr>
              <w:pStyle w:val="Sansinterligne"/>
              <w:rPr>
                <w:rFonts w:ascii="Marianne" w:hAnsi="Marianne"/>
                <w:sz w:val="18"/>
              </w:rPr>
            </w:pPr>
            <w:r>
              <w:rPr>
                <w:rFonts w:ascii="Marianne" w:hAnsi="Marianne"/>
                <w:sz w:val="18"/>
              </w:rPr>
              <w:t xml:space="preserve">Dans le cas général (en dehors des projets concentrés sur la mise en œuvre des </w:t>
            </w:r>
            <w:r w:rsidRPr="00017521">
              <w:rPr>
                <w:rFonts w:ascii="Marianne" w:hAnsi="Marianne"/>
                <w:b/>
                <w:sz w:val="18"/>
              </w:rPr>
              <w:t>solutions fondées sur la nature ainsi que les projets localisés dans les départements d’outre-mer), les projets devront présenter des budgets ≥ 0.6m€.</w:t>
            </w:r>
            <w:r>
              <w:rPr>
                <w:rFonts w:ascii="Marianne" w:hAnsi="Marianne"/>
                <w:sz w:val="18"/>
              </w:rPr>
              <w:t xml:space="preserve">  </w:t>
            </w:r>
          </w:p>
        </w:tc>
      </w:tr>
      <w:tr w:rsidR="00661A24" w14:paraId="10270A80" w14:textId="77777777">
        <w:tc>
          <w:tcPr>
            <w:tcW w:w="2546" w:type="dxa"/>
          </w:tcPr>
          <w:p w14:paraId="203D2BD5" w14:textId="77777777" w:rsidR="00661A24" w:rsidRDefault="00AD6DC1">
            <w:pPr>
              <w:pStyle w:val="Sansinterligne"/>
              <w:rPr>
                <w:rFonts w:ascii="Marianne" w:hAnsi="Marianne"/>
                <w:b/>
                <w:sz w:val="18"/>
              </w:rPr>
            </w:pPr>
            <w:r>
              <w:rPr>
                <w:rFonts w:ascii="Marianne" w:hAnsi="Marianne"/>
                <w:b/>
                <w:sz w:val="18"/>
              </w:rPr>
              <w:t>Bénéficiaires cibles</w:t>
            </w:r>
          </w:p>
        </w:tc>
        <w:tc>
          <w:tcPr>
            <w:tcW w:w="6514" w:type="dxa"/>
          </w:tcPr>
          <w:p w14:paraId="65C73E14" w14:textId="77777777" w:rsidR="00661A24" w:rsidRDefault="00AD6DC1">
            <w:pPr>
              <w:pStyle w:val="Sansinterligne"/>
              <w:rPr>
                <w:rFonts w:ascii="Marianne" w:hAnsi="Marianne"/>
                <w:sz w:val="18"/>
              </w:rPr>
            </w:pPr>
            <w:r>
              <w:rPr>
                <w:rFonts w:ascii="Marianne" w:hAnsi="Marianne"/>
                <w:b/>
                <w:sz w:val="18"/>
              </w:rPr>
              <w:t>Entreprises seules ou en collaboration</w:t>
            </w:r>
            <w:r>
              <w:rPr>
                <w:rFonts w:ascii="Marianne" w:hAnsi="Marianne"/>
                <w:sz w:val="18"/>
              </w:rPr>
              <w:t>, notamment avec des organismes de recherche (non obligatoire).</w:t>
            </w:r>
          </w:p>
          <w:p w14:paraId="27A56BD8" w14:textId="7034FA06" w:rsidR="00661A24" w:rsidRDefault="00AD6DC1" w:rsidP="00B02703">
            <w:pPr>
              <w:pStyle w:val="Sansinterligne"/>
              <w:rPr>
                <w:rFonts w:ascii="Marianne" w:hAnsi="Marianne"/>
                <w:sz w:val="18"/>
              </w:rPr>
            </w:pPr>
            <w:r>
              <w:rPr>
                <w:rFonts w:ascii="Marianne" w:hAnsi="Marianne"/>
                <w:sz w:val="18"/>
              </w:rPr>
              <w:t xml:space="preserve">Pour les </w:t>
            </w:r>
            <w:r w:rsidR="00B02703">
              <w:rPr>
                <w:rFonts w:ascii="Marianne" w:hAnsi="Marianne"/>
                <w:sz w:val="18"/>
              </w:rPr>
              <w:t>établissements publics,</w:t>
            </w:r>
            <w:r>
              <w:rPr>
                <w:rFonts w:ascii="Marianne" w:hAnsi="Marianne"/>
                <w:sz w:val="18"/>
              </w:rPr>
              <w:t xml:space="preserve"> l’éligibilité sera analysée au cas par cas. </w:t>
            </w:r>
          </w:p>
        </w:tc>
      </w:tr>
      <w:tr w:rsidR="00661A24" w14:paraId="6749D578" w14:textId="77777777">
        <w:tc>
          <w:tcPr>
            <w:tcW w:w="2546" w:type="dxa"/>
          </w:tcPr>
          <w:p w14:paraId="44CA797C" w14:textId="77777777" w:rsidR="00661A24" w:rsidRDefault="00AD6DC1">
            <w:pPr>
              <w:pStyle w:val="Sansinterligne"/>
              <w:rPr>
                <w:rFonts w:ascii="Marianne" w:hAnsi="Marianne"/>
                <w:b/>
                <w:sz w:val="18"/>
              </w:rPr>
            </w:pPr>
            <w:r>
              <w:rPr>
                <w:rFonts w:ascii="Marianne" w:hAnsi="Marianne"/>
                <w:b/>
                <w:sz w:val="18"/>
              </w:rPr>
              <w:t>Eligibilité des projets</w:t>
            </w:r>
          </w:p>
        </w:tc>
        <w:tc>
          <w:tcPr>
            <w:tcW w:w="6514" w:type="dxa"/>
          </w:tcPr>
          <w:p w14:paraId="26A3719A" w14:textId="77777777" w:rsidR="00661A24" w:rsidRDefault="00AD6DC1">
            <w:pPr>
              <w:pStyle w:val="Sansinterligne"/>
              <w:rPr>
                <w:rFonts w:ascii="Marianne" w:hAnsi="Marianne"/>
                <w:sz w:val="18"/>
              </w:rPr>
            </w:pPr>
            <w:r>
              <w:rPr>
                <w:rFonts w:ascii="Marianne" w:hAnsi="Marianne"/>
                <w:sz w:val="18"/>
              </w:rPr>
              <w:t xml:space="preserve">Montant minimum de coût du projet, nombre de partenaires, respect de l’objet de l’AAP, respect des critères environnementaux, composition du dossier et respect des délais, indicateurs d’impact, </w:t>
            </w:r>
            <w:proofErr w:type="spellStart"/>
            <w:r>
              <w:rPr>
                <w:rFonts w:ascii="Marianne" w:hAnsi="Marianne"/>
                <w:sz w:val="18"/>
              </w:rPr>
              <w:t>incitativité</w:t>
            </w:r>
            <w:proofErr w:type="spellEnd"/>
            <w:r>
              <w:rPr>
                <w:rFonts w:ascii="Marianne" w:hAnsi="Marianne"/>
                <w:sz w:val="18"/>
              </w:rPr>
              <w:t xml:space="preserve"> de l’aide.</w:t>
            </w:r>
          </w:p>
        </w:tc>
      </w:tr>
      <w:tr w:rsidR="00661A24" w14:paraId="5BC3248C" w14:textId="77777777">
        <w:tc>
          <w:tcPr>
            <w:tcW w:w="2546" w:type="dxa"/>
          </w:tcPr>
          <w:p w14:paraId="168F4319" w14:textId="77777777" w:rsidR="00661A24" w:rsidRDefault="00AD6DC1">
            <w:pPr>
              <w:pStyle w:val="Sansinterligne"/>
              <w:rPr>
                <w:rFonts w:ascii="Marianne" w:hAnsi="Marianne"/>
                <w:b/>
                <w:sz w:val="18"/>
              </w:rPr>
            </w:pPr>
            <w:r>
              <w:rPr>
                <w:rFonts w:ascii="Marianne" w:hAnsi="Marianne"/>
                <w:b/>
                <w:sz w:val="18"/>
              </w:rPr>
              <w:t>Critères de sélection</w:t>
            </w:r>
          </w:p>
        </w:tc>
        <w:tc>
          <w:tcPr>
            <w:tcW w:w="6514" w:type="dxa"/>
          </w:tcPr>
          <w:p w14:paraId="110DDC25" w14:textId="77777777" w:rsidR="00661A24" w:rsidRDefault="00AD6DC1">
            <w:pPr>
              <w:pStyle w:val="Sansinterligne"/>
              <w:rPr>
                <w:rFonts w:ascii="Marianne" w:hAnsi="Marianne"/>
                <w:sz w:val="18"/>
              </w:rPr>
            </w:pPr>
            <w:r>
              <w:rPr>
                <w:rFonts w:ascii="Marianne" w:hAnsi="Marianne"/>
                <w:sz w:val="18"/>
              </w:rPr>
              <w:t>Qualité du montage du projet, pertinence et complémentarité du consortium (si applicable), plan de financement, caractère innovant, impacts environnementaux, économiques et sociaux, réplicabilité de la solution, pertinence du modèle d’affaires.</w:t>
            </w:r>
          </w:p>
        </w:tc>
      </w:tr>
      <w:tr w:rsidR="00661A24" w14:paraId="38676344" w14:textId="77777777">
        <w:tc>
          <w:tcPr>
            <w:tcW w:w="2546" w:type="dxa"/>
          </w:tcPr>
          <w:p w14:paraId="685DF609" w14:textId="77777777" w:rsidR="00661A24" w:rsidRDefault="00AD6DC1">
            <w:pPr>
              <w:pStyle w:val="Sansinterligne"/>
              <w:rPr>
                <w:rFonts w:ascii="Marianne" w:hAnsi="Marianne"/>
                <w:b/>
                <w:sz w:val="18"/>
              </w:rPr>
            </w:pPr>
            <w:r>
              <w:rPr>
                <w:rFonts w:ascii="Marianne" w:hAnsi="Marianne"/>
                <w:b/>
                <w:sz w:val="18"/>
              </w:rPr>
              <w:t>Nature des aides</w:t>
            </w:r>
          </w:p>
        </w:tc>
        <w:tc>
          <w:tcPr>
            <w:tcW w:w="6514" w:type="dxa"/>
          </w:tcPr>
          <w:p w14:paraId="77B495AD" w14:textId="6AD8702A" w:rsidR="00661A24" w:rsidRDefault="00B02703">
            <w:pPr>
              <w:pStyle w:val="Sansinterligne"/>
              <w:rPr>
                <w:rFonts w:ascii="Marianne" w:hAnsi="Marianne"/>
                <w:sz w:val="18"/>
              </w:rPr>
            </w:pPr>
            <w:r>
              <w:rPr>
                <w:rFonts w:ascii="Marianne" w:hAnsi="Marianne"/>
                <w:b/>
                <w:sz w:val="18"/>
              </w:rPr>
              <w:t xml:space="preserve">Subventions et </w:t>
            </w:r>
            <w:r w:rsidR="00AD6DC1">
              <w:rPr>
                <w:rFonts w:ascii="Marianne" w:hAnsi="Marianne"/>
                <w:b/>
                <w:sz w:val="18"/>
              </w:rPr>
              <w:t>avances remboursables</w:t>
            </w:r>
            <w:r w:rsidR="00AD6DC1">
              <w:rPr>
                <w:rFonts w:ascii="Marianne" w:hAnsi="Marianne"/>
                <w:sz w:val="18"/>
              </w:rPr>
              <w:t xml:space="preserve">, </w:t>
            </w:r>
            <w:r>
              <w:rPr>
                <w:rFonts w:ascii="Marianne" w:hAnsi="Marianne"/>
                <w:sz w:val="18"/>
              </w:rPr>
              <w:t>selon</w:t>
            </w:r>
            <w:r w:rsidR="00AD6DC1">
              <w:rPr>
                <w:rFonts w:ascii="Marianne" w:hAnsi="Marianne"/>
                <w:sz w:val="18"/>
              </w:rPr>
              <w:t xml:space="preserve"> la nature du projet, </w:t>
            </w:r>
            <w:r>
              <w:rPr>
                <w:rFonts w:ascii="Marianne" w:hAnsi="Marianne"/>
                <w:sz w:val="18"/>
              </w:rPr>
              <w:t xml:space="preserve">la taille de l’entreprise </w:t>
            </w:r>
            <w:r w:rsidR="00AD6DC1">
              <w:rPr>
                <w:rFonts w:ascii="Marianne" w:hAnsi="Marianne"/>
                <w:sz w:val="18"/>
              </w:rPr>
              <w:t>de la nature des partenaires.</w:t>
            </w:r>
          </w:p>
          <w:p w14:paraId="65DF08F4" w14:textId="77777777" w:rsidR="00661A24" w:rsidRDefault="00661A24">
            <w:pPr>
              <w:pStyle w:val="Sansinterligne"/>
              <w:rPr>
                <w:rFonts w:ascii="Marianne" w:hAnsi="Marianne"/>
                <w:sz w:val="18"/>
              </w:rPr>
            </w:pPr>
          </w:p>
        </w:tc>
      </w:tr>
      <w:tr w:rsidR="00661A24" w14:paraId="45F8ADB0" w14:textId="77777777">
        <w:tc>
          <w:tcPr>
            <w:tcW w:w="2546" w:type="dxa"/>
          </w:tcPr>
          <w:p w14:paraId="7157ED62" w14:textId="77777777" w:rsidR="00661A24" w:rsidRDefault="00AD6DC1">
            <w:pPr>
              <w:pStyle w:val="Sansinterligne"/>
              <w:rPr>
                <w:rFonts w:ascii="Marianne" w:hAnsi="Marianne"/>
                <w:b/>
                <w:sz w:val="18"/>
              </w:rPr>
            </w:pPr>
            <w:r>
              <w:rPr>
                <w:rFonts w:ascii="Marianne" w:hAnsi="Marianne"/>
                <w:b/>
                <w:sz w:val="18"/>
              </w:rPr>
              <w:t>Liste des pièces du dossier</w:t>
            </w:r>
          </w:p>
        </w:tc>
        <w:tc>
          <w:tcPr>
            <w:tcW w:w="6514" w:type="dxa"/>
          </w:tcPr>
          <w:p w14:paraId="553AC5F5" w14:textId="77777777" w:rsidR="00661A24" w:rsidRDefault="00AD6DC1">
            <w:pPr>
              <w:rPr>
                <w:rFonts w:ascii="Marianne" w:hAnsi="Marianne"/>
                <w:b/>
                <w:sz w:val="18"/>
              </w:rPr>
            </w:pPr>
            <w:r>
              <w:rPr>
                <w:rFonts w:ascii="Marianne" w:hAnsi="Marianne"/>
                <w:b/>
                <w:sz w:val="18"/>
              </w:rPr>
              <w:t xml:space="preserve">Commun à tous les partenaires : </w:t>
            </w:r>
          </w:p>
          <w:p w14:paraId="4AC91D7F"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2 : </w:t>
            </w:r>
            <w:r>
              <w:rPr>
                <w:rFonts w:ascii="Marianne" w:hAnsi="Marianne"/>
                <w:b/>
                <w:sz w:val="18"/>
              </w:rPr>
              <w:tab/>
            </w:r>
            <w:r>
              <w:rPr>
                <w:rFonts w:ascii="Marianne" w:hAnsi="Marianne"/>
                <w:sz w:val="18"/>
              </w:rPr>
              <w:t>Modèle de présentation du projet pour la réunion de pré-dépôt</w:t>
            </w:r>
          </w:p>
          <w:p w14:paraId="207D74A5"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3.a : </w:t>
            </w:r>
            <w:r>
              <w:rPr>
                <w:rFonts w:ascii="Marianne" w:hAnsi="Marianne"/>
                <w:b/>
                <w:sz w:val="18"/>
              </w:rPr>
              <w:tab/>
            </w:r>
            <w:r>
              <w:rPr>
                <w:rFonts w:ascii="Marianne" w:hAnsi="Marianne"/>
                <w:sz w:val="18"/>
              </w:rPr>
              <w:t>Descriptif détaillé du projet</w:t>
            </w:r>
          </w:p>
          <w:p w14:paraId="07F099D0"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4 : </w:t>
            </w:r>
            <w:r>
              <w:rPr>
                <w:rFonts w:ascii="Marianne" w:hAnsi="Marianne"/>
                <w:b/>
                <w:sz w:val="18"/>
              </w:rPr>
              <w:tab/>
            </w:r>
            <w:r>
              <w:rPr>
                <w:rFonts w:ascii="Marianne" w:hAnsi="Marianne"/>
                <w:sz w:val="18"/>
              </w:rPr>
              <w:t>Base de données des coûts du projet</w:t>
            </w:r>
          </w:p>
          <w:p w14:paraId="3449790F"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Annexe 5 :</w:t>
            </w:r>
            <w:r>
              <w:rPr>
                <w:rFonts w:ascii="Marianne" w:hAnsi="Marianne"/>
                <w:b/>
                <w:sz w:val="18"/>
              </w:rPr>
              <w:tab/>
            </w:r>
            <w:r>
              <w:rPr>
                <w:rFonts w:ascii="Marianne" w:hAnsi="Marianne"/>
                <w:sz w:val="18"/>
              </w:rPr>
              <w:t xml:space="preserve">Grille d’impacts </w:t>
            </w:r>
          </w:p>
          <w:p w14:paraId="01B60CA5"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Annexe 8 :</w:t>
            </w:r>
            <w:r>
              <w:rPr>
                <w:rFonts w:ascii="Marianne" w:hAnsi="Marianne"/>
                <w:b/>
                <w:sz w:val="18"/>
              </w:rPr>
              <w:tab/>
            </w:r>
            <w:r>
              <w:rPr>
                <w:rFonts w:ascii="Marianne" w:hAnsi="Marianne"/>
                <w:sz w:val="18"/>
              </w:rPr>
              <w:t>Fiche Lauréat</w:t>
            </w:r>
          </w:p>
          <w:p w14:paraId="400FC166" w14:textId="77777777" w:rsidR="00661A24" w:rsidRDefault="00AD6DC1">
            <w:pPr>
              <w:rPr>
                <w:rFonts w:ascii="Marianne" w:hAnsi="Marianne"/>
                <w:b/>
                <w:sz w:val="18"/>
              </w:rPr>
            </w:pPr>
            <w:r>
              <w:rPr>
                <w:rFonts w:ascii="Marianne" w:hAnsi="Marianne"/>
                <w:b/>
                <w:sz w:val="18"/>
              </w:rPr>
              <w:t xml:space="preserve">Spécifique à chaque demandeur d’aide : </w:t>
            </w:r>
          </w:p>
          <w:p w14:paraId="377B4D62"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Annexe 1 :</w:t>
            </w:r>
            <w:r>
              <w:rPr>
                <w:rFonts w:ascii="Marianne" w:hAnsi="Marianne"/>
                <w:b/>
                <w:sz w:val="18"/>
              </w:rPr>
              <w:tab/>
            </w:r>
            <w:r>
              <w:rPr>
                <w:rFonts w:ascii="Marianne" w:hAnsi="Marianne"/>
                <w:sz w:val="18"/>
              </w:rPr>
              <w:t>Conditions Générales France 2030</w:t>
            </w:r>
          </w:p>
          <w:p w14:paraId="10548597"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3.b : </w:t>
            </w:r>
            <w:r>
              <w:rPr>
                <w:rFonts w:ascii="Marianne" w:hAnsi="Marianne"/>
                <w:b/>
                <w:sz w:val="18"/>
              </w:rPr>
              <w:tab/>
            </w:r>
            <w:r>
              <w:rPr>
                <w:rFonts w:ascii="Marianne" w:hAnsi="Marianne"/>
                <w:sz w:val="18"/>
              </w:rPr>
              <w:t>Descriptif du partenaire (pour acteurs économiques uniquement)</w:t>
            </w:r>
          </w:p>
          <w:p w14:paraId="1595B54B"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Annexe 3.c :</w:t>
            </w:r>
            <w:r>
              <w:rPr>
                <w:rFonts w:ascii="Marianne" w:hAnsi="Marianne"/>
                <w:b/>
                <w:sz w:val="18"/>
              </w:rPr>
              <w:tab/>
            </w:r>
            <w:r>
              <w:rPr>
                <w:rFonts w:ascii="Marianne" w:hAnsi="Marianne"/>
                <w:sz w:val="18"/>
              </w:rPr>
              <w:t>Déclarations administratives</w:t>
            </w:r>
          </w:p>
          <w:p w14:paraId="2B58C402"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Annexe 6 :</w:t>
            </w:r>
            <w:r>
              <w:rPr>
                <w:rFonts w:ascii="Marianne" w:hAnsi="Marianne"/>
                <w:b/>
                <w:sz w:val="18"/>
              </w:rPr>
              <w:tab/>
            </w:r>
            <w:r>
              <w:rPr>
                <w:rFonts w:ascii="Marianne" w:hAnsi="Marianne"/>
                <w:sz w:val="18"/>
              </w:rPr>
              <w:t>Eléments financiers (pour acteurs économiques uniquement)</w:t>
            </w:r>
          </w:p>
          <w:p w14:paraId="07643854"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 xml:space="preserve">Annexe 7 : </w:t>
            </w:r>
            <w:r>
              <w:rPr>
                <w:rFonts w:ascii="Marianne" w:hAnsi="Marianne"/>
                <w:b/>
                <w:sz w:val="18"/>
              </w:rPr>
              <w:tab/>
            </w:r>
            <w:r>
              <w:rPr>
                <w:rFonts w:ascii="Marianne" w:hAnsi="Marianne"/>
                <w:sz w:val="18"/>
              </w:rPr>
              <w:t>Attestation de santé financière</w:t>
            </w:r>
          </w:p>
          <w:p w14:paraId="2AD19973"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KBIS, RIB, 3 dernières liasses fiscales</w:t>
            </w:r>
          </w:p>
        </w:tc>
      </w:tr>
    </w:tbl>
    <w:p w14:paraId="702C1BC4" w14:textId="77777777" w:rsidR="00661A24" w:rsidRDefault="00661A24">
      <w:pPr>
        <w:rPr>
          <w:rFonts w:ascii="Marianne" w:hAnsi="Marianne"/>
          <w:b/>
          <w:smallCaps/>
          <w:color w:val="002060"/>
          <w:sz w:val="24"/>
          <w:szCs w:val="24"/>
        </w:rPr>
      </w:pPr>
    </w:p>
    <w:p w14:paraId="08C6D927" w14:textId="77777777" w:rsidR="00661A24" w:rsidRDefault="00661A24">
      <w:pPr>
        <w:rPr>
          <w:rFonts w:ascii="Marianne" w:hAnsi="Marianne"/>
        </w:rPr>
        <w:sectPr w:rsidR="00661A24">
          <w:footerReference w:type="default" r:id="rId10"/>
          <w:headerReference w:type="first" r:id="rId11"/>
          <w:footerReference w:type="first" r:id="rId12"/>
          <w:pgSz w:w="11906" w:h="16838"/>
          <w:pgMar w:top="1134" w:right="1418" w:bottom="1134" w:left="1418" w:header="567" w:footer="142" w:gutter="0"/>
          <w:cols w:space="720"/>
          <w:formProt w:val="0"/>
          <w:titlePg/>
          <w:docGrid w:linePitch="312" w:charSpace="-2049"/>
        </w:sectPr>
      </w:pPr>
    </w:p>
    <w:p w14:paraId="4F85698F" w14:textId="77777777" w:rsidR="00661A24" w:rsidRDefault="00AD6DC1">
      <w:pPr>
        <w:pStyle w:val="Titre1"/>
        <w:numPr>
          <w:ilvl w:val="0"/>
          <w:numId w:val="0"/>
        </w:numPr>
        <w:spacing w:before="0" w:after="120" w:line="240" w:lineRule="auto"/>
        <w:ind w:left="432" w:hanging="432"/>
        <w:rPr>
          <w:rFonts w:ascii="Marianne" w:hAnsi="Marianne"/>
          <w:color w:val="002060"/>
        </w:rPr>
      </w:pPr>
      <w:bookmarkStart w:id="4" w:name="_Toc10651050"/>
      <w:bookmarkStart w:id="5" w:name="_Toc140092155"/>
      <w:r>
        <w:rPr>
          <w:rFonts w:ascii="Marianne" w:hAnsi="Marianne"/>
          <w:color w:val="002060"/>
        </w:rPr>
        <w:lastRenderedPageBreak/>
        <w:t>Table des matières</w:t>
      </w:r>
      <w:bookmarkEnd w:id="4"/>
      <w:bookmarkEnd w:id="5"/>
    </w:p>
    <w:p w14:paraId="4C2F7C39" w14:textId="77777777" w:rsidR="00661A24" w:rsidRDefault="00661A24">
      <w:pPr>
        <w:spacing w:after="120"/>
        <w:rPr>
          <w:rFonts w:ascii="Marianne" w:hAnsi="Marianne"/>
          <w:b/>
        </w:rPr>
      </w:pPr>
    </w:p>
    <w:p w14:paraId="0D580792" w14:textId="777779C9" w:rsidR="00DD6F0C" w:rsidRDefault="00AD6DC1">
      <w:pPr>
        <w:pStyle w:val="TM1"/>
        <w:rPr>
          <w:rFonts w:asciiTheme="minorHAnsi" w:eastAsiaTheme="minorEastAsia" w:hAnsiTheme="minorHAnsi" w:cstheme="minorBidi"/>
          <w:b w:val="0"/>
        </w:rPr>
      </w:pPr>
      <w:r>
        <w:fldChar w:fldCharType="begin"/>
      </w:r>
      <w:r>
        <w:instrText xml:space="preserve"> TOC \o "1-2" \h \z \u </w:instrText>
      </w:r>
      <w:r>
        <w:fldChar w:fldCharType="separate"/>
      </w:r>
      <w:hyperlink w:anchor="_Toc140092154" w:history="1">
        <w:r w:rsidR="00DD6F0C" w:rsidRPr="00C641EC">
          <w:rPr>
            <w:rStyle w:val="Lienhypertexte"/>
          </w:rPr>
          <w:t>Fiche synthétique de l’appel à projet</w:t>
        </w:r>
        <w:r w:rsidR="00DD6F0C">
          <w:rPr>
            <w:webHidden/>
          </w:rPr>
          <w:tab/>
        </w:r>
        <w:r w:rsidR="00DD6F0C">
          <w:rPr>
            <w:webHidden/>
          </w:rPr>
          <w:fldChar w:fldCharType="begin"/>
        </w:r>
        <w:r w:rsidR="00DD6F0C">
          <w:rPr>
            <w:webHidden/>
          </w:rPr>
          <w:instrText xml:space="preserve"> PAGEREF _Toc140092154 \h </w:instrText>
        </w:r>
        <w:r w:rsidR="00DD6F0C">
          <w:rPr>
            <w:webHidden/>
          </w:rPr>
        </w:r>
        <w:r w:rsidR="00DD6F0C">
          <w:rPr>
            <w:webHidden/>
          </w:rPr>
          <w:fldChar w:fldCharType="separate"/>
        </w:r>
        <w:r w:rsidR="00D95334">
          <w:rPr>
            <w:webHidden/>
          </w:rPr>
          <w:t>2</w:t>
        </w:r>
        <w:r w:rsidR="00DD6F0C">
          <w:rPr>
            <w:webHidden/>
          </w:rPr>
          <w:fldChar w:fldCharType="end"/>
        </w:r>
      </w:hyperlink>
    </w:p>
    <w:p w14:paraId="05271FF8" w14:textId="4A63DD26" w:rsidR="00DD6F0C" w:rsidRDefault="00D95334">
      <w:pPr>
        <w:pStyle w:val="TM1"/>
        <w:rPr>
          <w:rFonts w:asciiTheme="minorHAnsi" w:eastAsiaTheme="minorEastAsia" w:hAnsiTheme="minorHAnsi" w:cstheme="minorBidi"/>
          <w:b w:val="0"/>
        </w:rPr>
      </w:pPr>
      <w:hyperlink w:anchor="_Toc140092155" w:history="1">
        <w:r w:rsidR="00DD6F0C" w:rsidRPr="00C641EC">
          <w:rPr>
            <w:rStyle w:val="Lienhypertexte"/>
          </w:rPr>
          <w:t>Table des matières</w:t>
        </w:r>
        <w:r w:rsidR="00DD6F0C">
          <w:rPr>
            <w:webHidden/>
          </w:rPr>
          <w:tab/>
        </w:r>
        <w:r w:rsidR="00DD6F0C">
          <w:rPr>
            <w:webHidden/>
          </w:rPr>
          <w:fldChar w:fldCharType="begin"/>
        </w:r>
        <w:r w:rsidR="00DD6F0C">
          <w:rPr>
            <w:webHidden/>
          </w:rPr>
          <w:instrText xml:space="preserve"> PAGEREF _Toc140092155 \h </w:instrText>
        </w:r>
        <w:r w:rsidR="00DD6F0C">
          <w:rPr>
            <w:webHidden/>
          </w:rPr>
        </w:r>
        <w:r w:rsidR="00DD6F0C">
          <w:rPr>
            <w:webHidden/>
          </w:rPr>
          <w:fldChar w:fldCharType="separate"/>
        </w:r>
        <w:r>
          <w:rPr>
            <w:webHidden/>
          </w:rPr>
          <w:t>3</w:t>
        </w:r>
        <w:r w:rsidR="00DD6F0C">
          <w:rPr>
            <w:webHidden/>
          </w:rPr>
          <w:fldChar w:fldCharType="end"/>
        </w:r>
      </w:hyperlink>
    </w:p>
    <w:p w14:paraId="49021BD9" w14:textId="3654F847" w:rsidR="00DD6F0C" w:rsidRDefault="00D95334">
      <w:pPr>
        <w:pStyle w:val="TM1"/>
        <w:rPr>
          <w:rFonts w:asciiTheme="minorHAnsi" w:eastAsiaTheme="minorEastAsia" w:hAnsiTheme="minorHAnsi" w:cstheme="minorBidi"/>
          <w:b w:val="0"/>
        </w:rPr>
      </w:pPr>
      <w:hyperlink w:anchor="_Toc140092156" w:history="1">
        <w:r w:rsidR="00DD6F0C" w:rsidRPr="00C641EC">
          <w:rPr>
            <w:rStyle w:val="Lienhypertexte"/>
          </w:rPr>
          <w:t>1</w:t>
        </w:r>
        <w:r w:rsidR="00DD6F0C">
          <w:rPr>
            <w:rFonts w:asciiTheme="minorHAnsi" w:eastAsiaTheme="minorEastAsia" w:hAnsiTheme="minorHAnsi" w:cstheme="minorBidi"/>
            <w:b w:val="0"/>
          </w:rPr>
          <w:tab/>
        </w:r>
        <w:r w:rsidR="00DD6F0C" w:rsidRPr="00C641EC">
          <w:rPr>
            <w:rStyle w:val="Lienhypertexte"/>
          </w:rPr>
          <w:t>Liste des documents constitutifs d’un dossier</w:t>
        </w:r>
        <w:r w:rsidR="00DD6F0C">
          <w:rPr>
            <w:webHidden/>
          </w:rPr>
          <w:tab/>
        </w:r>
        <w:r w:rsidR="00DD6F0C">
          <w:rPr>
            <w:webHidden/>
          </w:rPr>
          <w:fldChar w:fldCharType="begin"/>
        </w:r>
        <w:r w:rsidR="00DD6F0C">
          <w:rPr>
            <w:webHidden/>
          </w:rPr>
          <w:instrText xml:space="preserve"> PAGEREF _Toc140092156 \h </w:instrText>
        </w:r>
        <w:r w:rsidR="00DD6F0C">
          <w:rPr>
            <w:webHidden/>
          </w:rPr>
        </w:r>
        <w:r w:rsidR="00DD6F0C">
          <w:rPr>
            <w:webHidden/>
          </w:rPr>
          <w:fldChar w:fldCharType="separate"/>
        </w:r>
        <w:r>
          <w:rPr>
            <w:webHidden/>
          </w:rPr>
          <w:t>4</w:t>
        </w:r>
        <w:r w:rsidR="00DD6F0C">
          <w:rPr>
            <w:webHidden/>
          </w:rPr>
          <w:fldChar w:fldCharType="end"/>
        </w:r>
      </w:hyperlink>
    </w:p>
    <w:p w14:paraId="70F33ADB" w14:textId="5C1E2D1B" w:rsidR="00DD6F0C" w:rsidRDefault="00D95334">
      <w:pPr>
        <w:pStyle w:val="TM2"/>
        <w:rPr>
          <w:rFonts w:asciiTheme="minorHAnsi" w:eastAsiaTheme="minorEastAsia" w:hAnsiTheme="minorHAnsi" w:cstheme="minorBidi"/>
          <w:noProof/>
        </w:rPr>
      </w:pPr>
      <w:hyperlink w:anchor="_Toc140092157" w:history="1">
        <w:r w:rsidR="00DD6F0C" w:rsidRPr="00C641EC">
          <w:rPr>
            <w:rStyle w:val="Lienhypertexte"/>
            <w:rFonts w:ascii="Marianne" w:hAnsi="Marianne"/>
            <w:noProof/>
          </w:rPr>
          <w:t>1.1</w:t>
        </w:r>
        <w:r w:rsidR="00DD6F0C">
          <w:rPr>
            <w:rFonts w:asciiTheme="minorHAnsi" w:eastAsiaTheme="minorEastAsia" w:hAnsiTheme="minorHAnsi" w:cstheme="minorBidi"/>
            <w:noProof/>
          </w:rPr>
          <w:tab/>
        </w:r>
        <w:r w:rsidR="00DD6F0C" w:rsidRPr="00C641EC">
          <w:rPr>
            <w:rStyle w:val="Lienhypertexte"/>
            <w:rFonts w:ascii="Marianne" w:hAnsi="Marianne"/>
            <w:noProof/>
          </w:rPr>
          <w:t>Pour un pré-dépôt</w:t>
        </w:r>
        <w:r w:rsidR="00DD6F0C">
          <w:rPr>
            <w:noProof/>
            <w:webHidden/>
          </w:rPr>
          <w:tab/>
        </w:r>
        <w:r w:rsidR="00DD6F0C">
          <w:rPr>
            <w:noProof/>
            <w:webHidden/>
          </w:rPr>
          <w:fldChar w:fldCharType="begin"/>
        </w:r>
        <w:r w:rsidR="00DD6F0C">
          <w:rPr>
            <w:noProof/>
            <w:webHidden/>
          </w:rPr>
          <w:instrText xml:space="preserve"> PAGEREF _Toc140092157 \h </w:instrText>
        </w:r>
        <w:r w:rsidR="00DD6F0C">
          <w:rPr>
            <w:noProof/>
            <w:webHidden/>
          </w:rPr>
        </w:r>
        <w:r w:rsidR="00DD6F0C">
          <w:rPr>
            <w:noProof/>
            <w:webHidden/>
          </w:rPr>
          <w:fldChar w:fldCharType="separate"/>
        </w:r>
        <w:r>
          <w:rPr>
            <w:noProof/>
            <w:webHidden/>
          </w:rPr>
          <w:t>4</w:t>
        </w:r>
        <w:r w:rsidR="00DD6F0C">
          <w:rPr>
            <w:noProof/>
            <w:webHidden/>
          </w:rPr>
          <w:fldChar w:fldCharType="end"/>
        </w:r>
      </w:hyperlink>
    </w:p>
    <w:p w14:paraId="3E25DA65" w14:textId="24198AF9" w:rsidR="00DD6F0C" w:rsidRDefault="00D95334">
      <w:pPr>
        <w:pStyle w:val="TM2"/>
        <w:rPr>
          <w:rFonts w:asciiTheme="minorHAnsi" w:eastAsiaTheme="minorEastAsia" w:hAnsiTheme="minorHAnsi" w:cstheme="minorBidi"/>
          <w:noProof/>
        </w:rPr>
      </w:pPr>
      <w:hyperlink w:anchor="_Toc140092158" w:history="1">
        <w:r w:rsidR="00DD6F0C" w:rsidRPr="00C641EC">
          <w:rPr>
            <w:rStyle w:val="Lienhypertexte"/>
            <w:rFonts w:ascii="Marianne" w:hAnsi="Marianne"/>
            <w:noProof/>
          </w:rPr>
          <w:t>1.2</w:t>
        </w:r>
        <w:r w:rsidR="00DD6F0C">
          <w:rPr>
            <w:rFonts w:asciiTheme="minorHAnsi" w:eastAsiaTheme="minorEastAsia" w:hAnsiTheme="minorHAnsi" w:cstheme="minorBidi"/>
            <w:noProof/>
          </w:rPr>
          <w:tab/>
        </w:r>
        <w:r w:rsidR="00DD6F0C" w:rsidRPr="00C641EC">
          <w:rPr>
            <w:rStyle w:val="Lienhypertexte"/>
            <w:rFonts w:ascii="Marianne" w:hAnsi="Marianne"/>
            <w:noProof/>
          </w:rPr>
          <w:t>Pour un dépôt complet</w:t>
        </w:r>
        <w:r w:rsidR="00DD6F0C">
          <w:rPr>
            <w:noProof/>
            <w:webHidden/>
          </w:rPr>
          <w:tab/>
        </w:r>
        <w:r w:rsidR="00DD6F0C">
          <w:rPr>
            <w:noProof/>
            <w:webHidden/>
          </w:rPr>
          <w:fldChar w:fldCharType="begin"/>
        </w:r>
        <w:r w:rsidR="00DD6F0C">
          <w:rPr>
            <w:noProof/>
            <w:webHidden/>
          </w:rPr>
          <w:instrText xml:space="preserve"> PAGEREF _Toc140092158 \h </w:instrText>
        </w:r>
        <w:r w:rsidR="00DD6F0C">
          <w:rPr>
            <w:noProof/>
            <w:webHidden/>
          </w:rPr>
        </w:r>
        <w:r w:rsidR="00DD6F0C">
          <w:rPr>
            <w:noProof/>
            <w:webHidden/>
          </w:rPr>
          <w:fldChar w:fldCharType="separate"/>
        </w:r>
        <w:r>
          <w:rPr>
            <w:noProof/>
            <w:webHidden/>
          </w:rPr>
          <w:t>4</w:t>
        </w:r>
        <w:r w:rsidR="00DD6F0C">
          <w:rPr>
            <w:noProof/>
            <w:webHidden/>
          </w:rPr>
          <w:fldChar w:fldCharType="end"/>
        </w:r>
      </w:hyperlink>
    </w:p>
    <w:p w14:paraId="4D3831D4" w14:textId="15382B68" w:rsidR="00DD6F0C" w:rsidRDefault="00D95334">
      <w:pPr>
        <w:pStyle w:val="TM1"/>
        <w:rPr>
          <w:rFonts w:asciiTheme="minorHAnsi" w:eastAsiaTheme="minorEastAsia" w:hAnsiTheme="minorHAnsi" w:cstheme="minorBidi"/>
          <w:b w:val="0"/>
        </w:rPr>
      </w:pPr>
      <w:hyperlink w:anchor="_Toc140092159" w:history="1">
        <w:r w:rsidR="00DD6F0C" w:rsidRPr="00C641EC">
          <w:rPr>
            <w:rStyle w:val="Lienhypertexte"/>
          </w:rPr>
          <w:t>2</w:t>
        </w:r>
        <w:r w:rsidR="00DD6F0C">
          <w:rPr>
            <w:rFonts w:asciiTheme="minorHAnsi" w:eastAsiaTheme="minorEastAsia" w:hAnsiTheme="minorHAnsi" w:cstheme="minorBidi"/>
            <w:b w:val="0"/>
          </w:rPr>
          <w:tab/>
        </w:r>
        <w:r w:rsidR="00DD6F0C" w:rsidRPr="00C641EC">
          <w:rPr>
            <w:rStyle w:val="Lienhypertexte"/>
          </w:rPr>
          <w:t>Cadre général de l’appel à projets (aap)</w:t>
        </w:r>
        <w:r w:rsidR="00DD6F0C">
          <w:rPr>
            <w:webHidden/>
          </w:rPr>
          <w:tab/>
        </w:r>
        <w:r w:rsidR="00DD6F0C">
          <w:rPr>
            <w:webHidden/>
          </w:rPr>
          <w:fldChar w:fldCharType="begin"/>
        </w:r>
        <w:r w:rsidR="00DD6F0C">
          <w:rPr>
            <w:webHidden/>
          </w:rPr>
          <w:instrText xml:space="preserve"> PAGEREF _Toc140092159 \h </w:instrText>
        </w:r>
        <w:r w:rsidR="00DD6F0C">
          <w:rPr>
            <w:webHidden/>
          </w:rPr>
        </w:r>
        <w:r w:rsidR="00DD6F0C">
          <w:rPr>
            <w:webHidden/>
          </w:rPr>
          <w:fldChar w:fldCharType="separate"/>
        </w:r>
        <w:r>
          <w:rPr>
            <w:webHidden/>
          </w:rPr>
          <w:t>5</w:t>
        </w:r>
        <w:r w:rsidR="00DD6F0C">
          <w:rPr>
            <w:webHidden/>
          </w:rPr>
          <w:fldChar w:fldCharType="end"/>
        </w:r>
      </w:hyperlink>
    </w:p>
    <w:p w14:paraId="7FDC6362" w14:textId="60FFE721" w:rsidR="00DD6F0C" w:rsidRDefault="00D95334">
      <w:pPr>
        <w:pStyle w:val="TM2"/>
        <w:rPr>
          <w:rFonts w:asciiTheme="minorHAnsi" w:eastAsiaTheme="minorEastAsia" w:hAnsiTheme="minorHAnsi" w:cstheme="minorBidi"/>
          <w:noProof/>
        </w:rPr>
      </w:pPr>
      <w:hyperlink w:anchor="_Toc140092160" w:history="1">
        <w:r w:rsidR="00DD6F0C" w:rsidRPr="00C641EC">
          <w:rPr>
            <w:rStyle w:val="Lienhypertexte"/>
            <w:rFonts w:ascii="Marianne" w:hAnsi="Marianne"/>
            <w:b/>
            <w:bCs/>
            <w:noProof/>
          </w:rPr>
          <w:t>2.1</w:t>
        </w:r>
        <w:r w:rsidR="00DD6F0C">
          <w:rPr>
            <w:rFonts w:asciiTheme="minorHAnsi" w:eastAsiaTheme="minorEastAsia" w:hAnsiTheme="minorHAnsi" w:cstheme="minorBidi"/>
            <w:noProof/>
          </w:rPr>
          <w:tab/>
        </w:r>
        <w:r w:rsidR="00DD6F0C" w:rsidRPr="00C641EC">
          <w:rPr>
            <w:rStyle w:val="Lienhypertexte"/>
            <w:rFonts w:ascii="Marianne" w:hAnsi="Marianne"/>
            <w:b/>
            <w:bCs/>
            <w:noProof/>
          </w:rPr>
          <w:t>Contexte de l’AAP</w:t>
        </w:r>
        <w:r w:rsidR="00DD6F0C">
          <w:rPr>
            <w:noProof/>
            <w:webHidden/>
          </w:rPr>
          <w:tab/>
        </w:r>
        <w:r w:rsidR="00DD6F0C">
          <w:rPr>
            <w:noProof/>
            <w:webHidden/>
          </w:rPr>
          <w:fldChar w:fldCharType="begin"/>
        </w:r>
        <w:r w:rsidR="00DD6F0C">
          <w:rPr>
            <w:noProof/>
            <w:webHidden/>
          </w:rPr>
          <w:instrText xml:space="preserve"> PAGEREF _Toc140092160 \h </w:instrText>
        </w:r>
        <w:r w:rsidR="00DD6F0C">
          <w:rPr>
            <w:noProof/>
            <w:webHidden/>
          </w:rPr>
        </w:r>
        <w:r w:rsidR="00DD6F0C">
          <w:rPr>
            <w:noProof/>
            <w:webHidden/>
          </w:rPr>
          <w:fldChar w:fldCharType="separate"/>
        </w:r>
        <w:r>
          <w:rPr>
            <w:noProof/>
            <w:webHidden/>
          </w:rPr>
          <w:t>5</w:t>
        </w:r>
        <w:r w:rsidR="00DD6F0C">
          <w:rPr>
            <w:noProof/>
            <w:webHidden/>
          </w:rPr>
          <w:fldChar w:fldCharType="end"/>
        </w:r>
      </w:hyperlink>
    </w:p>
    <w:p w14:paraId="44DDB0D8" w14:textId="03E398B3" w:rsidR="00DD6F0C" w:rsidRDefault="00D95334">
      <w:pPr>
        <w:pStyle w:val="TM2"/>
        <w:rPr>
          <w:rFonts w:asciiTheme="minorHAnsi" w:eastAsiaTheme="minorEastAsia" w:hAnsiTheme="minorHAnsi" w:cstheme="minorBidi"/>
          <w:noProof/>
        </w:rPr>
      </w:pPr>
      <w:hyperlink w:anchor="_Toc140092161" w:history="1">
        <w:r w:rsidR="00DD6F0C" w:rsidRPr="00C641EC">
          <w:rPr>
            <w:rStyle w:val="Lienhypertexte"/>
            <w:rFonts w:ascii="Marianne" w:hAnsi="Marianne"/>
            <w:b/>
            <w:bCs/>
            <w:noProof/>
          </w:rPr>
          <w:t>2.2</w:t>
        </w:r>
        <w:r w:rsidR="00DD6F0C">
          <w:rPr>
            <w:rFonts w:asciiTheme="minorHAnsi" w:eastAsiaTheme="minorEastAsia" w:hAnsiTheme="minorHAnsi" w:cstheme="minorBidi"/>
            <w:noProof/>
          </w:rPr>
          <w:tab/>
        </w:r>
        <w:r w:rsidR="00DD6F0C" w:rsidRPr="00C641EC">
          <w:rPr>
            <w:rStyle w:val="Lienhypertexte"/>
            <w:rFonts w:ascii="Marianne" w:hAnsi="Marianne"/>
            <w:b/>
            <w:bCs/>
            <w:noProof/>
          </w:rPr>
          <w:t>Priorités thématiques</w:t>
        </w:r>
        <w:r w:rsidR="00DD6F0C">
          <w:rPr>
            <w:noProof/>
            <w:webHidden/>
          </w:rPr>
          <w:tab/>
        </w:r>
        <w:r w:rsidR="00DD6F0C">
          <w:rPr>
            <w:noProof/>
            <w:webHidden/>
          </w:rPr>
          <w:fldChar w:fldCharType="begin"/>
        </w:r>
        <w:r w:rsidR="00DD6F0C">
          <w:rPr>
            <w:noProof/>
            <w:webHidden/>
          </w:rPr>
          <w:instrText xml:space="preserve"> PAGEREF _Toc140092161 \h </w:instrText>
        </w:r>
        <w:r w:rsidR="00DD6F0C">
          <w:rPr>
            <w:noProof/>
            <w:webHidden/>
          </w:rPr>
        </w:r>
        <w:r w:rsidR="00DD6F0C">
          <w:rPr>
            <w:noProof/>
            <w:webHidden/>
          </w:rPr>
          <w:fldChar w:fldCharType="separate"/>
        </w:r>
        <w:r>
          <w:rPr>
            <w:noProof/>
            <w:webHidden/>
          </w:rPr>
          <w:t>7</w:t>
        </w:r>
        <w:r w:rsidR="00DD6F0C">
          <w:rPr>
            <w:noProof/>
            <w:webHidden/>
          </w:rPr>
          <w:fldChar w:fldCharType="end"/>
        </w:r>
      </w:hyperlink>
    </w:p>
    <w:p w14:paraId="07D62D42" w14:textId="551EB774" w:rsidR="00DD6F0C" w:rsidRDefault="00D95334">
      <w:pPr>
        <w:pStyle w:val="TM2"/>
        <w:rPr>
          <w:rFonts w:asciiTheme="minorHAnsi" w:eastAsiaTheme="minorEastAsia" w:hAnsiTheme="minorHAnsi" w:cstheme="minorBidi"/>
          <w:noProof/>
        </w:rPr>
      </w:pPr>
      <w:hyperlink w:anchor="_Toc140092162" w:history="1">
        <w:r w:rsidR="00DD6F0C" w:rsidRPr="00C641EC">
          <w:rPr>
            <w:rStyle w:val="Lienhypertexte"/>
            <w:rFonts w:ascii="Marianne" w:hAnsi="Marianne"/>
            <w:noProof/>
          </w:rPr>
          <w:t>2.3</w:t>
        </w:r>
        <w:r w:rsidR="00DD6F0C">
          <w:rPr>
            <w:rFonts w:asciiTheme="minorHAnsi" w:eastAsiaTheme="minorEastAsia" w:hAnsiTheme="minorHAnsi" w:cstheme="minorBidi"/>
            <w:noProof/>
          </w:rPr>
          <w:tab/>
        </w:r>
        <w:r w:rsidR="00DD6F0C" w:rsidRPr="00C641EC">
          <w:rPr>
            <w:rStyle w:val="Lienhypertexte"/>
            <w:rFonts w:ascii="Marianne" w:hAnsi="Marianne"/>
            <w:noProof/>
          </w:rPr>
          <w:t>Définitions</w:t>
        </w:r>
        <w:r w:rsidR="00DD6F0C">
          <w:rPr>
            <w:noProof/>
            <w:webHidden/>
          </w:rPr>
          <w:tab/>
        </w:r>
        <w:r w:rsidR="00DD6F0C">
          <w:rPr>
            <w:noProof/>
            <w:webHidden/>
          </w:rPr>
          <w:fldChar w:fldCharType="begin"/>
        </w:r>
        <w:r w:rsidR="00DD6F0C">
          <w:rPr>
            <w:noProof/>
            <w:webHidden/>
          </w:rPr>
          <w:instrText xml:space="preserve"> PAGEREF _Toc140092162 \h </w:instrText>
        </w:r>
        <w:r w:rsidR="00DD6F0C">
          <w:rPr>
            <w:noProof/>
            <w:webHidden/>
          </w:rPr>
        </w:r>
        <w:r w:rsidR="00DD6F0C">
          <w:rPr>
            <w:noProof/>
            <w:webHidden/>
          </w:rPr>
          <w:fldChar w:fldCharType="separate"/>
        </w:r>
        <w:r>
          <w:rPr>
            <w:noProof/>
            <w:webHidden/>
          </w:rPr>
          <w:t>11</w:t>
        </w:r>
        <w:r w:rsidR="00DD6F0C">
          <w:rPr>
            <w:noProof/>
            <w:webHidden/>
          </w:rPr>
          <w:fldChar w:fldCharType="end"/>
        </w:r>
      </w:hyperlink>
    </w:p>
    <w:p w14:paraId="3E92E7D6" w14:textId="7FE8CD2B" w:rsidR="00DD6F0C" w:rsidRDefault="00D95334">
      <w:pPr>
        <w:pStyle w:val="TM1"/>
        <w:rPr>
          <w:rFonts w:asciiTheme="minorHAnsi" w:eastAsiaTheme="minorEastAsia" w:hAnsiTheme="minorHAnsi" w:cstheme="minorBidi"/>
          <w:b w:val="0"/>
        </w:rPr>
      </w:pPr>
      <w:hyperlink w:anchor="_Toc140092163" w:history="1">
        <w:r w:rsidR="00DD6F0C" w:rsidRPr="00C641EC">
          <w:rPr>
            <w:rStyle w:val="Lienhypertexte"/>
          </w:rPr>
          <w:t>3</w:t>
        </w:r>
        <w:r w:rsidR="00DD6F0C">
          <w:rPr>
            <w:rFonts w:asciiTheme="minorHAnsi" w:eastAsiaTheme="minorEastAsia" w:hAnsiTheme="minorHAnsi" w:cstheme="minorBidi"/>
            <w:b w:val="0"/>
          </w:rPr>
          <w:tab/>
        </w:r>
        <w:r w:rsidR="00DD6F0C" w:rsidRPr="00C641EC">
          <w:rPr>
            <w:rStyle w:val="Lienhypertexte"/>
          </w:rPr>
          <w:t>Processus global de l’AAP</w:t>
        </w:r>
        <w:r w:rsidR="00DD6F0C">
          <w:rPr>
            <w:webHidden/>
          </w:rPr>
          <w:tab/>
        </w:r>
        <w:r w:rsidR="00DD6F0C">
          <w:rPr>
            <w:webHidden/>
          </w:rPr>
          <w:fldChar w:fldCharType="begin"/>
        </w:r>
        <w:r w:rsidR="00DD6F0C">
          <w:rPr>
            <w:webHidden/>
          </w:rPr>
          <w:instrText xml:space="preserve"> PAGEREF _Toc140092163 \h </w:instrText>
        </w:r>
        <w:r w:rsidR="00DD6F0C">
          <w:rPr>
            <w:webHidden/>
          </w:rPr>
        </w:r>
        <w:r w:rsidR="00DD6F0C">
          <w:rPr>
            <w:webHidden/>
          </w:rPr>
          <w:fldChar w:fldCharType="separate"/>
        </w:r>
        <w:r>
          <w:rPr>
            <w:webHidden/>
          </w:rPr>
          <w:t>12</w:t>
        </w:r>
        <w:r w:rsidR="00DD6F0C">
          <w:rPr>
            <w:webHidden/>
          </w:rPr>
          <w:fldChar w:fldCharType="end"/>
        </w:r>
      </w:hyperlink>
    </w:p>
    <w:p w14:paraId="24D4D2B0" w14:textId="123EA855" w:rsidR="00DD6F0C" w:rsidRDefault="00D95334">
      <w:pPr>
        <w:pStyle w:val="TM2"/>
        <w:rPr>
          <w:rFonts w:asciiTheme="minorHAnsi" w:eastAsiaTheme="minorEastAsia" w:hAnsiTheme="minorHAnsi" w:cstheme="minorBidi"/>
          <w:noProof/>
        </w:rPr>
      </w:pPr>
      <w:hyperlink w:anchor="_Toc140092164" w:history="1">
        <w:r w:rsidR="00DD6F0C" w:rsidRPr="00C641EC">
          <w:rPr>
            <w:rStyle w:val="Lienhypertexte"/>
            <w:rFonts w:ascii="Marianne" w:hAnsi="Marianne"/>
            <w:b/>
            <w:bCs/>
            <w:noProof/>
          </w:rPr>
          <w:t>3.1</w:t>
        </w:r>
        <w:r w:rsidR="00DD6F0C">
          <w:rPr>
            <w:rFonts w:asciiTheme="minorHAnsi" w:eastAsiaTheme="minorEastAsia" w:hAnsiTheme="minorHAnsi" w:cstheme="minorBidi"/>
            <w:noProof/>
          </w:rPr>
          <w:tab/>
        </w:r>
        <w:r w:rsidR="00DD6F0C" w:rsidRPr="00C641EC">
          <w:rPr>
            <w:rStyle w:val="Lienhypertexte"/>
            <w:rFonts w:ascii="Marianne" w:hAnsi="Marianne"/>
            <w:b/>
            <w:bCs/>
            <w:noProof/>
          </w:rPr>
          <w:t>Critères d’éligibilité</w:t>
        </w:r>
        <w:r w:rsidR="00DD6F0C">
          <w:rPr>
            <w:noProof/>
            <w:webHidden/>
          </w:rPr>
          <w:tab/>
        </w:r>
        <w:r w:rsidR="00DD6F0C">
          <w:rPr>
            <w:noProof/>
            <w:webHidden/>
          </w:rPr>
          <w:fldChar w:fldCharType="begin"/>
        </w:r>
        <w:r w:rsidR="00DD6F0C">
          <w:rPr>
            <w:noProof/>
            <w:webHidden/>
          </w:rPr>
          <w:instrText xml:space="preserve"> PAGEREF _Toc140092164 \h </w:instrText>
        </w:r>
        <w:r w:rsidR="00DD6F0C">
          <w:rPr>
            <w:noProof/>
            <w:webHidden/>
          </w:rPr>
        </w:r>
        <w:r w:rsidR="00DD6F0C">
          <w:rPr>
            <w:noProof/>
            <w:webHidden/>
          </w:rPr>
          <w:fldChar w:fldCharType="separate"/>
        </w:r>
        <w:r>
          <w:rPr>
            <w:noProof/>
            <w:webHidden/>
          </w:rPr>
          <w:t>12</w:t>
        </w:r>
        <w:r w:rsidR="00DD6F0C">
          <w:rPr>
            <w:noProof/>
            <w:webHidden/>
          </w:rPr>
          <w:fldChar w:fldCharType="end"/>
        </w:r>
      </w:hyperlink>
    </w:p>
    <w:p w14:paraId="13A36A87" w14:textId="2A1A8B3D" w:rsidR="00DD6F0C" w:rsidRDefault="00D95334">
      <w:pPr>
        <w:pStyle w:val="TM2"/>
        <w:rPr>
          <w:rFonts w:asciiTheme="minorHAnsi" w:eastAsiaTheme="minorEastAsia" w:hAnsiTheme="minorHAnsi" w:cstheme="minorBidi"/>
          <w:noProof/>
        </w:rPr>
      </w:pPr>
      <w:hyperlink w:anchor="_Toc140092165" w:history="1">
        <w:r w:rsidR="00DD6F0C" w:rsidRPr="00C641EC">
          <w:rPr>
            <w:rStyle w:val="Lienhypertexte"/>
            <w:rFonts w:ascii="Marianne" w:hAnsi="Marianne"/>
            <w:b/>
            <w:bCs/>
            <w:noProof/>
          </w:rPr>
          <w:t>3.2</w:t>
        </w:r>
        <w:r w:rsidR="00DD6F0C">
          <w:rPr>
            <w:rFonts w:asciiTheme="minorHAnsi" w:eastAsiaTheme="minorEastAsia" w:hAnsiTheme="minorHAnsi" w:cstheme="minorBidi"/>
            <w:noProof/>
          </w:rPr>
          <w:tab/>
        </w:r>
        <w:r w:rsidR="00DD6F0C" w:rsidRPr="00C641EC">
          <w:rPr>
            <w:rStyle w:val="Lienhypertexte"/>
            <w:rFonts w:ascii="Marianne" w:hAnsi="Marianne"/>
            <w:b/>
            <w:bCs/>
            <w:noProof/>
          </w:rPr>
          <w:t>Pré-dépôt et dépôt</w:t>
        </w:r>
        <w:r w:rsidR="00DD6F0C">
          <w:rPr>
            <w:noProof/>
            <w:webHidden/>
          </w:rPr>
          <w:tab/>
        </w:r>
        <w:r w:rsidR="00DD6F0C">
          <w:rPr>
            <w:noProof/>
            <w:webHidden/>
          </w:rPr>
          <w:fldChar w:fldCharType="begin"/>
        </w:r>
        <w:r w:rsidR="00DD6F0C">
          <w:rPr>
            <w:noProof/>
            <w:webHidden/>
          </w:rPr>
          <w:instrText xml:space="preserve"> PAGEREF _Toc140092165 \h </w:instrText>
        </w:r>
        <w:r w:rsidR="00DD6F0C">
          <w:rPr>
            <w:noProof/>
            <w:webHidden/>
          </w:rPr>
        </w:r>
        <w:r w:rsidR="00DD6F0C">
          <w:rPr>
            <w:noProof/>
            <w:webHidden/>
          </w:rPr>
          <w:fldChar w:fldCharType="separate"/>
        </w:r>
        <w:r>
          <w:rPr>
            <w:noProof/>
            <w:webHidden/>
          </w:rPr>
          <w:t>13</w:t>
        </w:r>
        <w:r w:rsidR="00DD6F0C">
          <w:rPr>
            <w:noProof/>
            <w:webHidden/>
          </w:rPr>
          <w:fldChar w:fldCharType="end"/>
        </w:r>
      </w:hyperlink>
    </w:p>
    <w:p w14:paraId="7F3A868B" w14:textId="0D68D1E6" w:rsidR="00DD6F0C" w:rsidRDefault="00D95334">
      <w:pPr>
        <w:pStyle w:val="TM2"/>
        <w:rPr>
          <w:rFonts w:asciiTheme="minorHAnsi" w:eastAsiaTheme="minorEastAsia" w:hAnsiTheme="minorHAnsi" w:cstheme="minorBidi"/>
          <w:noProof/>
        </w:rPr>
      </w:pPr>
      <w:hyperlink w:anchor="_Toc140092166" w:history="1">
        <w:r w:rsidR="00DD6F0C" w:rsidRPr="00C641EC">
          <w:rPr>
            <w:rStyle w:val="Lienhypertexte"/>
            <w:rFonts w:ascii="Marianne" w:hAnsi="Marianne"/>
            <w:b/>
            <w:bCs/>
            <w:noProof/>
          </w:rPr>
          <w:t>3.3</w:t>
        </w:r>
        <w:r w:rsidR="00DD6F0C">
          <w:rPr>
            <w:rFonts w:asciiTheme="minorHAnsi" w:eastAsiaTheme="minorEastAsia" w:hAnsiTheme="minorHAnsi" w:cstheme="minorBidi"/>
            <w:noProof/>
          </w:rPr>
          <w:tab/>
        </w:r>
        <w:r w:rsidR="00DD6F0C" w:rsidRPr="00C641EC">
          <w:rPr>
            <w:rStyle w:val="Lienhypertexte"/>
            <w:rFonts w:ascii="Marianne" w:hAnsi="Marianne"/>
            <w:b/>
            <w:bCs/>
            <w:noProof/>
          </w:rPr>
          <w:t>Processus de sélection et d’instruction</w:t>
        </w:r>
        <w:r w:rsidR="00DD6F0C">
          <w:rPr>
            <w:noProof/>
            <w:webHidden/>
          </w:rPr>
          <w:tab/>
        </w:r>
        <w:r w:rsidR="00DD6F0C">
          <w:rPr>
            <w:noProof/>
            <w:webHidden/>
          </w:rPr>
          <w:fldChar w:fldCharType="begin"/>
        </w:r>
        <w:r w:rsidR="00DD6F0C">
          <w:rPr>
            <w:noProof/>
            <w:webHidden/>
          </w:rPr>
          <w:instrText xml:space="preserve"> PAGEREF _Toc140092166 \h </w:instrText>
        </w:r>
        <w:r w:rsidR="00DD6F0C">
          <w:rPr>
            <w:noProof/>
            <w:webHidden/>
          </w:rPr>
        </w:r>
        <w:r w:rsidR="00DD6F0C">
          <w:rPr>
            <w:noProof/>
            <w:webHidden/>
          </w:rPr>
          <w:fldChar w:fldCharType="separate"/>
        </w:r>
        <w:r>
          <w:rPr>
            <w:noProof/>
            <w:webHidden/>
          </w:rPr>
          <w:t>14</w:t>
        </w:r>
        <w:r w:rsidR="00DD6F0C">
          <w:rPr>
            <w:noProof/>
            <w:webHidden/>
          </w:rPr>
          <w:fldChar w:fldCharType="end"/>
        </w:r>
      </w:hyperlink>
    </w:p>
    <w:p w14:paraId="034889F8" w14:textId="5359E605" w:rsidR="00DD6F0C" w:rsidRDefault="00D95334">
      <w:pPr>
        <w:pStyle w:val="TM2"/>
        <w:rPr>
          <w:rFonts w:asciiTheme="minorHAnsi" w:eastAsiaTheme="minorEastAsia" w:hAnsiTheme="minorHAnsi" w:cstheme="minorBidi"/>
          <w:noProof/>
        </w:rPr>
      </w:pPr>
      <w:hyperlink w:anchor="_Toc140092167" w:history="1">
        <w:r w:rsidR="00DD6F0C" w:rsidRPr="00C641EC">
          <w:rPr>
            <w:rStyle w:val="Lienhypertexte"/>
            <w:rFonts w:ascii="Marianne" w:hAnsi="Marianne"/>
            <w:b/>
            <w:bCs/>
            <w:noProof/>
          </w:rPr>
          <w:t>3.4</w:t>
        </w:r>
        <w:r w:rsidR="00DD6F0C">
          <w:rPr>
            <w:rFonts w:asciiTheme="minorHAnsi" w:eastAsiaTheme="minorEastAsia" w:hAnsiTheme="minorHAnsi" w:cstheme="minorBidi"/>
            <w:noProof/>
          </w:rPr>
          <w:tab/>
        </w:r>
        <w:r w:rsidR="00DD6F0C" w:rsidRPr="00C641EC">
          <w:rPr>
            <w:rStyle w:val="Lienhypertexte"/>
            <w:rFonts w:ascii="Marianne" w:hAnsi="Marianne"/>
            <w:b/>
            <w:bCs/>
            <w:noProof/>
          </w:rPr>
          <w:t>Contractualisation</w:t>
        </w:r>
        <w:r w:rsidR="00DD6F0C">
          <w:rPr>
            <w:noProof/>
            <w:webHidden/>
          </w:rPr>
          <w:tab/>
        </w:r>
        <w:r w:rsidR="00DD6F0C">
          <w:rPr>
            <w:noProof/>
            <w:webHidden/>
          </w:rPr>
          <w:fldChar w:fldCharType="begin"/>
        </w:r>
        <w:r w:rsidR="00DD6F0C">
          <w:rPr>
            <w:noProof/>
            <w:webHidden/>
          </w:rPr>
          <w:instrText xml:space="preserve"> PAGEREF _Toc140092167 \h </w:instrText>
        </w:r>
        <w:r w:rsidR="00DD6F0C">
          <w:rPr>
            <w:noProof/>
            <w:webHidden/>
          </w:rPr>
        </w:r>
        <w:r w:rsidR="00DD6F0C">
          <w:rPr>
            <w:noProof/>
            <w:webHidden/>
          </w:rPr>
          <w:fldChar w:fldCharType="separate"/>
        </w:r>
        <w:r>
          <w:rPr>
            <w:noProof/>
            <w:webHidden/>
          </w:rPr>
          <w:t>14</w:t>
        </w:r>
        <w:r w:rsidR="00DD6F0C">
          <w:rPr>
            <w:noProof/>
            <w:webHidden/>
          </w:rPr>
          <w:fldChar w:fldCharType="end"/>
        </w:r>
      </w:hyperlink>
    </w:p>
    <w:p w14:paraId="10E1B228" w14:textId="5D3614F4" w:rsidR="00DD6F0C" w:rsidRDefault="00D95334">
      <w:pPr>
        <w:pStyle w:val="TM1"/>
        <w:rPr>
          <w:rFonts w:asciiTheme="minorHAnsi" w:eastAsiaTheme="minorEastAsia" w:hAnsiTheme="minorHAnsi" w:cstheme="minorBidi"/>
          <w:b w:val="0"/>
        </w:rPr>
      </w:pPr>
      <w:hyperlink w:anchor="_Toc140092168" w:history="1">
        <w:r w:rsidR="00DD6F0C" w:rsidRPr="00C641EC">
          <w:rPr>
            <w:rStyle w:val="Lienhypertexte"/>
          </w:rPr>
          <w:t>4</w:t>
        </w:r>
        <w:r w:rsidR="00DD6F0C">
          <w:rPr>
            <w:rFonts w:asciiTheme="minorHAnsi" w:eastAsiaTheme="minorEastAsia" w:hAnsiTheme="minorHAnsi" w:cstheme="minorBidi"/>
            <w:b w:val="0"/>
          </w:rPr>
          <w:tab/>
        </w:r>
        <w:r w:rsidR="00DD6F0C" w:rsidRPr="00C641EC">
          <w:rPr>
            <w:rStyle w:val="Lienhypertexte"/>
          </w:rPr>
          <w:t>Critères de sélection</w:t>
        </w:r>
        <w:r w:rsidR="00DD6F0C">
          <w:rPr>
            <w:webHidden/>
          </w:rPr>
          <w:tab/>
        </w:r>
        <w:r w:rsidR="00DD6F0C">
          <w:rPr>
            <w:webHidden/>
          </w:rPr>
          <w:fldChar w:fldCharType="begin"/>
        </w:r>
        <w:r w:rsidR="00DD6F0C">
          <w:rPr>
            <w:webHidden/>
          </w:rPr>
          <w:instrText xml:space="preserve"> PAGEREF _Toc140092168 \h </w:instrText>
        </w:r>
        <w:r w:rsidR="00DD6F0C">
          <w:rPr>
            <w:webHidden/>
          </w:rPr>
        </w:r>
        <w:r w:rsidR="00DD6F0C">
          <w:rPr>
            <w:webHidden/>
          </w:rPr>
          <w:fldChar w:fldCharType="separate"/>
        </w:r>
        <w:r>
          <w:rPr>
            <w:webHidden/>
          </w:rPr>
          <w:t>16</w:t>
        </w:r>
        <w:r w:rsidR="00DD6F0C">
          <w:rPr>
            <w:webHidden/>
          </w:rPr>
          <w:fldChar w:fldCharType="end"/>
        </w:r>
      </w:hyperlink>
    </w:p>
    <w:p w14:paraId="3D7C71D0" w14:textId="5BF4003D" w:rsidR="00DD6F0C" w:rsidRDefault="00D95334">
      <w:pPr>
        <w:pStyle w:val="TM1"/>
        <w:rPr>
          <w:rFonts w:asciiTheme="minorHAnsi" w:eastAsiaTheme="minorEastAsia" w:hAnsiTheme="minorHAnsi" w:cstheme="minorBidi"/>
          <w:b w:val="0"/>
        </w:rPr>
      </w:pPr>
      <w:hyperlink w:anchor="_Toc140092169" w:history="1">
        <w:r w:rsidR="00DD6F0C" w:rsidRPr="00C641EC">
          <w:rPr>
            <w:rStyle w:val="Lienhypertexte"/>
          </w:rPr>
          <w:t>5</w:t>
        </w:r>
        <w:r w:rsidR="00DD6F0C">
          <w:rPr>
            <w:rFonts w:asciiTheme="minorHAnsi" w:eastAsiaTheme="minorEastAsia" w:hAnsiTheme="minorHAnsi" w:cstheme="minorBidi"/>
            <w:b w:val="0"/>
          </w:rPr>
          <w:tab/>
        </w:r>
        <w:r w:rsidR="00DD6F0C" w:rsidRPr="00C641EC">
          <w:rPr>
            <w:rStyle w:val="Lienhypertexte"/>
          </w:rPr>
          <w:t>Régime d’aides et modalités de financement</w:t>
        </w:r>
        <w:r w:rsidR="00DD6F0C">
          <w:rPr>
            <w:webHidden/>
          </w:rPr>
          <w:tab/>
        </w:r>
        <w:r w:rsidR="00DD6F0C">
          <w:rPr>
            <w:webHidden/>
          </w:rPr>
          <w:fldChar w:fldCharType="begin"/>
        </w:r>
        <w:r w:rsidR="00DD6F0C">
          <w:rPr>
            <w:webHidden/>
          </w:rPr>
          <w:instrText xml:space="preserve"> PAGEREF _Toc140092169 \h </w:instrText>
        </w:r>
        <w:r w:rsidR="00DD6F0C">
          <w:rPr>
            <w:webHidden/>
          </w:rPr>
        </w:r>
        <w:r w:rsidR="00DD6F0C">
          <w:rPr>
            <w:webHidden/>
          </w:rPr>
          <w:fldChar w:fldCharType="separate"/>
        </w:r>
        <w:r>
          <w:rPr>
            <w:webHidden/>
          </w:rPr>
          <w:t>19</w:t>
        </w:r>
        <w:r w:rsidR="00DD6F0C">
          <w:rPr>
            <w:webHidden/>
          </w:rPr>
          <w:fldChar w:fldCharType="end"/>
        </w:r>
      </w:hyperlink>
    </w:p>
    <w:p w14:paraId="6A271BC4" w14:textId="0FE42E8D" w:rsidR="00DD6F0C" w:rsidRDefault="00D95334">
      <w:pPr>
        <w:pStyle w:val="TM2"/>
        <w:rPr>
          <w:rFonts w:asciiTheme="minorHAnsi" w:eastAsiaTheme="minorEastAsia" w:hAnsiTheme="minorHAnsi" w:cstheme="minorBidi"/>
          <w:noProof/>
        </w:rPr>
      </w:pPr>
      <w:hyperlink w:anchor="_Toc140092170" w:history="1">
        <w:r w:rsidR="00DD6F0C" w:rsidRPr="00C641EC">
          <w:rPr>
            <w:rStyle w:val="Lienhypertexte"/>
            <w:rFonts w:ascii="Marianne" w:hAnsi="Marianne"/>
            <w:noProof/>
          </w:rPr>
          <w:t>5.1</w:t>
        </w:r>
        <w:r w:rsidR="00DD6F0C">
          <w:rPr>
            <w:rFonts w:asciiTheme="minorHAnsi" w:eastAsiaTheme="minorEastAsia" w:hAnsiTheme="minorHAnsi" w:cstheme="minorBidi"/>
            <w:noProof/>
          </w:rPr>
          <w:tab/>
        </w:r>
        <w:r w:rsidR="00DD6F0C" w:rsidRPr="00C641EC">
          <w:rPr>
            <w:rStyle w:val="Lienhypertexte"/>
            <w:rFonts w:ascii="Marianne" w:hAnsi="Marianne"/>
            <w:noProof/>
          </w:rPr>
          <w:t>Régime d’aides et date d’éligibilité des dépenses</w:t>
        </w:r>
        <w:r w:rsidR="00DD6F0C">
          <w:rPr>
            <w:noProof/>
            <w:webHidden/>
          </w:rPr>
          <w:tab/>
        </w:r>
        <w:r w:rsidR="00DD6F0C">
          <w:rPr>
            <w:noProof/>
            <w:webHidden/>
          </w:rPr>
          <w:fldChar w:fldCharType="begin"/>
        </w:r>
        <w:r w:rsidR="00DD6F0C">
          <w:rPr>
            <w:noProof/>
            <w:webHidden/>
          </w:rPr>
          <w:instrText xml:space="preserve"> PAGEREF _Toc140092170 \h </w:instrText>
        </w:r>
        <w:r w:rsidR="00DD6F0C">
          <w:rPr>
            <w:noProof/>
            <w:webHidden/>
          </w:rPr>
        </w:r>
        <w:r w:rsidR="00DD6F0C">
          <w:rPr>
            <w:noProof/>
            <w:webHidden/>
          </w:rPr>
          <w:fldChar w:fldCharType="separate"/>
        </w:r>
        <w:r>
          <w:rPr>
            <w:noProof/>
            <w:webHidden/>
          </w:rPr>
          <w:t>19</w:t>
        </w:r>
        <w:r w:rsidR="00DD6F0C">
          <w:rPr>
            <w:noProof/>
            <w:webHidden/>
          </w:rPr>
          <w:fldChar w:fldCharType="end"/>
        </w:r>
      </w:hyperlink>
    </w:p>
    <w:p w14:paraId="79611AEC" w14:textId="3D0AD215" w:rsidR="00DD6F0C" w:rsidRDefault="00D95334">
      <w:pPr>
        <w:pStyle w:val="TM2"/>
        <w:rPr>
          <w:rFonts w:asciiTheme="minorHAnsi" w:eastAsiaTheme="minorEastAsia" w:hAnsiTheme="minorHAnsi" w:cstheme="minorBidi"/>
          <w:noProof/>
        </w:rPr>
      </w:pPr>
      <w:hyperlink w:anchor="_Toc140092171" w:history="1">
        <w:r w:rsidR="00DD6F0C" w:rsidRPr="00C641EC">
          <w:rPr>
            <w:rStyle w:val="Lienhypertexte"/>
            <w:rFonts w:ascii="Marianne" w:hAnsi="Marianne"/>
            <w:noProof/>
          </w:rPr>
          <w:t>5.2</w:t>
        </w:r>
        <w:r w:rsidR="00DD6F0C">
          <w:rPr>
            <w:rFonts w:asciiTheme="minorHAnsi" w:eastAsiaTheme="minorEastAsia" w:hAnsiTheme="minorHAnsi" w:cstheme="minorBidi"/>
            <w:noProof/>
          </w:rPr>
          <w:tab/>
        </w:r>
        <w:r w:rsidR="00DD6F0C" w:rsidRPr="00C641EC">
          <w:rPr>
            <w:rStyle w:val="Lienhypertexte"/>
            <w:rFonts w:ascii="Marianne" w:hAnsi="Marianne"/>
            <w:noProof/>
          </w:rPr>
          <w:t>Description coûts éligibles et retenus dans le cas général</w:t>
        </w:r>
        <w:r w:rsidR="00DD6F0C">
          <w:rPr>
            <w:noProof/>
            <w:webHidden/>
          </w:rPr>
          <w:tab/>
        </w:r>
        <w:r w:rsidR="00DD6F0C">
          <w:rPr>
            <w:noProof/>
            <w:webHidden/>
          </w:rPr>
          <w:fldChar w:fldCharType="begin"/>
        </w:r>
        <w:r w:rsidR="00DD6F0C">
          <w:rPr>
            <w:noProof/>
            <w:webHidden/>
          </w:rPr>
          <w:instrText xml:space="preserve"> PAGEREF _Toc140092171 \h </w:instrText>
        </w:r>
        <w:r w:rsidR="00DD6F0C">
          <w:rPr>
            <w:noProof/>
            <w:webHidden/>
          </w:rPr>
        </w:r>
        <w:r w:rsidR="00DD6F0C">
          <w:rPr>
            <w:noProof/>
            <w:webHidden/>
          </w:rPr>
          <w:fldChar w:fldCharType="separate"/>
        </w:r>
        <w:r>
          <w:rPr>
            <w:noProof/>
            <w:webHidden/>
          </w:rPr>
          <w:t>20</w:t>
        </w:r>
        <w:r w:rsidR="00DD6F0C">
          <w:rPr>
            <w:noProof/>
            <w:webHidden/>
          </w:rPr>
          <w:fldChar w:fldCharType="end"/>
        </w:r>
      </w:hyperlink>
    </w:p>
    <w:p w14:paraId="1D52BF15" w14:textId="651B3740" w:rsidR="00DD6F0C" w:rsidRDefault="00D95334">
      <w:pPr>
        <w:pStyle w:val="TM2"/>
        <w:rPr>
          <w:rFonts w:asciiTheme="minorHAnsi" w:eastAsiaTheme="minorEastAsia" w:hAnsiTheme="minorHAnsi" w:cstheme="minorBidi"/>
          <w:noProof/>
        </w:rPr>
      </w:pPr>
      <w:hyperlink w:anchor="_Toc140092172" w:history="1">
        <w:r w:rsidR="00DD6F0C" w:rsidRPr="00C641EC">
          <w:rPr>
            <w:rStyle w:val="Lienhypertexte"/>
            <w:rFonts w:ascii="Marianne" w:hAnsi="Marianne"/>
            <w:noProof/>
          </w:rPr>
          <w:t>5.3</w:t>
        </w:r>
        <w:r w:rsidR="00DD6F0C">
          <w:rPr>
            <w:rFonts w:asciiTheme="minorHAnsi" w:eastAsiaTheme="minorEastAsia" w:hAnsiTheme="minorHAnsi" w:cstheme="minorBidi"/>
            <w:noProof/>
          </w:rPr>
          <w:tab/>
        </w:r>
        <w:r w:rsidR="00DD6F0C" w:rsidRPr="00C641EC">
          <w:rPr>
            <w:rStyle w:val="Lienhypertexte"/>
            <w:rFonts w:ascii="Marianne" w:hAnsi="Marianne"/>
            <w:noProof/>
          </w:rPr>
          <w:t>Aides proposées</w:t>
        </w:r>
        <w:r w:rsidR="00DD6F0C">
          <w:rPr>
            <w:noProof/>
            <w:webHidden/>
          </w:rPr>
          <w:tab/>
        </w:r>
        <w:r w:rsidR="00DD6F0C">
          <w:rPr>
            <w:noProof/>
            <w:webHidden/>
          </w:rPr>
          <w:fldChar w:fldCharType="begin"/>
        </w:r>
        <w:r w:rsidR="00DD6F0C">
          <w:rPr>
            <w:noProof/>
            <w:webHidden/>
          </w:rPr>
          <w:instrText xml:space="preserve"> PAGEREF _Toc140092172 \h </w:instrText>
        </w:r>
        <w:r w:rsidR="00DD6F0C">
          <w:rPr>
            <w:noProof/>
            <w:webHidden/>
          </w:rPr>
        </w:r>
        <w:r w:rsidR="00DD6F0C">
          <w:rPr>
            <w:noProof/>
            <w:webHidden/>
          </w:rPr>
          <w:fldChar w:fldCharType="separate"/>
        </w:r>
        <w:r>
          <w:rPr>
            <w:noProof/>
            <w:webHidden/>
          </w:rPr>
          <w:t>22</w:t>
        </w:r>
        <w:r w:rsidR="00DD6F0C">
          <w:rPr>
            <w:noProof/>
            <w:webHidden/>
          </w:rPr>
          <w:fldChar w:fldCharType="end"/>
        </w:r>
      </w:hyperlink>
    </w:p>
    <w:p w14:paraId="0A79391C" w14:textId="4E0CD0F4" w:rsidR="00DD6F0C" w:rsidRDefault="00D95334">
      <w:pPr>
        <w:pStyle w:val="TM2"/>
        <w:rPr>
          <w:rFonts w:asciiTheme="minorHAnsi" w:eastAsiaTheme="minorEastAsia" w:hAnsiTheme="minorHAnsi" w:cstheme="minorBidi"/>
          <w:noProof/>
        </w:rPr>
      </w:pPr>
      <w:hyperlink w:anchor="_Toc140092173" w:history="1">
        <w:r w:rsidR="00DD6F0C" w:rsidRPr="00C641EC">
          <w:rPr>
            <w:rStyle w:val="Lienhypertexte"/>
            <w:rFonts w:ascii="Marianne" w:hAnsi="Marianne"/>
            <w:noProof/>
          </w:rPr>
          <w:t>5.4</w:t>
        </w:r>
        <w:r w:rsidR="00DD6F0C">
          <w:rPr>
            <w:rFonts w:asciiTheme="minorHAnsi" w:eastAsiaTheme="minorEastAsia" w:hAnsiTheme="minorHAnsi" w:cstheme="minorBidi"/>
            <w:noProof/>
          </w:rPr>
          <w:tab/>
        </w:r>
        <w:r w:rsidR="00DD6F0C" w:rsidRPr="00C641EC">
          <w:rPr>
            <w:rStyle w:val="Lienhypertexte"/>
            <w:rFonts w:ascii="Marianne" w:hAnsi="Marianne"/>
            <w:noProof/>
          </w:rPr>
          <w:t>Modalités de remboursement des avances remboursables</w:t>
        </w:r>
        <w:r w:rsidR="00DD6F0C">
          <w:rPr>
            <w:noProof/>
            <w:webHidden/>
          </w:rPr>
          <w:tab/>
        </w:r>
        <w:r w:rsidR="00DD6F0C">
          <w:rPr>
            <w:noProof/>
            <w:webHidden/>
          </w:rPr>
          <w:fldChar w:fldCharType="begin"/>
        </w:r>
        <w:r w:rsidR="00DD6F0C">
          <w:rPr>
            <w:noProof/>
            <w:webHidden/>
          </w:rPr>
          <w:instrText xml:space="preserve"> PAGEREF _Toc140092173 \h </w:instrText>
        </w:r>
        <w:r w:rsidR="00DD6F0C">
          <w:rPr>
            <w:noProof/>
            <w:webHidden/>
          </w:rPr>
        </w:r>
        <w:r w:rsidR="00DD6F0C">
          <w:rPr>
            <w:noProof/>
            <w:webHidden/>
          </w:rPr>
          <w:fldChar w:fldCharType="separate"/>
        </w:r>
        <w:r>
          <w:rPr>
            <w:noProof/>
            <w:webHidden/>
          </w:rPr>
          <w:t>23</w:t>
        </w:r>
        <w:r w:rsidR="00DD6F0C">
          <w:rPr>
            <w:noProof/>
            <w:webHidden/>
          </w:rPr>
          <w:fldChar w:fldCharType="end"/>
        </w:r>
      </w:hyperlink>
    </w:p>
    <w:p w14:paraId="6790AEA7" w14:textId="3EC759DB" w:rsidR="00DD6F0C" w:rsidRDefault="00D95334">
      <w:pPr>
        <w:pStyle w:val="TM1"/>
        <w:rPr>
          <w:rFonts w:asciiTheme="minorHAnsi" w:eastAsiaTheme="minorEastAsia" w:hAnsiTheme="minorHAnsi" w:cstheme="minorBidi"/>
          <w:b w:val="0"/>
        </w:rPr>
      </w:pPr>
      <w:hyperlink w:anchor="_Toc140092174" w:history="1">
        <w:r w:rsidR="00DD6F0C" w:rsidRPr="00C641EC">
          <w:rPr>
            <w:rStyle w:val="Lienhypertexte"/>
          </w:rPr>
          <w:t>Annexe A : Calendrier des relèves</w:t>
        </w:r>
        <w:r w:rsidR="00DD6F0C">
          <w:rPr>
            <w:webHidden/>
          </w:rPr>
          <w:tab/>
        </w:r>
        <w:r w:rsidR="00DD6F0C">
          <w:rPr>
            <w:webHidden/>
          </w:rPr>
          <w:fldChar w:fldCharType="begin"/>
        </w:r>
        <w:r w:rsidR="00DD6F0C">
          <w:rPr>
            <w:webHidden/>
          </w:rPr>
          <w:instrText xml:space="preserve"> PAGEREF _Toc140092174 \h </w:instrText>
        </w:r>
        <w:r w:rsidR="00DD6F0C">
          <w:rPr>
            <w:webHidden/>
          </w:rPr>
        </w:r>
        <w:r w:rsidR="00DD6F0C">
          <w:rPr>
            <w:webHidden/>
          </w:rPr>
          <w:fldChar w:fldCharType="separate"/>
        </w:r>
        <w:r>
          <w:rPr>
            <w:webHidden/>
          </w:rPr>
          <w:t>24</w:t>
        </w:r>
        <w:r w:rsidR="00DD6F0C">
          <w:rPr>
            <w:webHidden/>
          </w:rPr>
          <w:fldChar w:fldCharType="end"/>
        </w:r>
      </w:hyperlink>
    </w:p>
    <w:p w14:paraId="34892173" w14:textId="21910C3F" w:rsidR="00DD6F0C" w:rsidRDefault="00D95334">
      <w:pPr>
        <w:pStyle w:val="TM1"/>
        <w:rPr>
          <w:rFonts w:asciiTheme="minorHAnsi" w:eastAsiaTheme="minorEastAsia" w:hAnsiTheme="minorHAnsi" w:cstheme="minorBidi"/>
          <w:b w:val="0"/>
        </w:rPr>
      </w:pPr>
      <w:hyperlink w:anchor="_Toc140092175" w:history="1">
        <w:r w:rsidR="00DD6F0C" w:rsidRPr="00C641EC">
          <w:rPr>
            <w:rStyle w:val="Lienhypertexte"/>
          </w:rPr>
          <w:t>Annexe B : Critères de performance environnementale</w:t>
        </w:r>
        <w:r w:rsidR="00DD6F0C">
          <w:rPr>
            <w:webHidden/>
          </w:rPr>
          <w:tab/>
        </w:r>
        <w:r w:rsidR="00DD6F0C">
          <w:rPr>
            <w:webHidden/>
          </w:rPr>
          <w:fldChar w:fldCharType="begin"/>
        </w:r>
        <w:r w:rsidR="00DD6F0C">
          <w:rPr>
            <w:webHidden/>
          </w:rPr>
          <w:instrText xml:space="preserve"> PAGEREF _Toc140092175 \h </w:instrText>
        </w:r>
        <w:r w:rsidR="00DD6F0C">
          <w:rPr>
            <w:webHidden/>
          </w:rPr>
        </w:r>
        <w:r w:rsidR="00DD6F0C">
          <w:rPr>
            <w:webHidden/>
          </w:rPr>
          <w:fldChar w:fldCharType="separate"/>
        </w:r>
        <w:r>
          <w:rPr>
            <w:webHidden/>
          </w:rPr>
          <w:t>25</w:t>
        </w:r>
        <w:r w:rsidR="00DD6F0C">
          <w:rPr>
            <w:webHidden/>
          </w:rPr>
          <w:fldChar w:fldCharType="end"/>
        </w:r>
      </w:hyperlink>
    </w:p>
    <w:p w14:paraId="0BD4F805" w14:textId="1FFD0FCE" w:rsidR="00DD6F0C" w:rsidRDefault="00D95334">
      <w:pPr>
        <w:pStyle w:val="TM1"/>
        <w:rPr>
          <w:rFonts w:asciiTheme="minorHAnsi" w:eastAsiaTheme="minorEastAsia" w:hAnsiTheme="minorHAnsi" w:cstheme="minorBidi"/>
          <w:b w:val="0"/>
        </w:rPr>
      </w:pPr>
      <w:hyperlink w:anchor="_Toc140092176" w:history="1">
        <w:r w:rsidR="00DD6F0C" w:rsidRPr="00C641EC">
          <w:rPr>
            <w:rStyle w:val="Lienhypertexte"/>
          </w:rPr>
          <w:t>Annexe C</w:t>
        </w:r>
        <w:r w:rsidR="00DD6F0C" w:rsidRPr="00C641EC">
          <w:rPr>
            <w:rStyle w:val="Lienhypertexte"/>
            <w:rFonts w:ascii="Calibri" w:hAnsi="Calibri" w:cs="Calibri"/>
          </w:rPr>
          <w:t> </w:t>
        </w:r>
        <w:r w:rsidR="00DD6F0C" w:rsidRPr="00C641EC">
          <w:rPr>
            <w:rStyle w:val="Lienhypertexte"/>
          </w:rPr>
          <w:t>: Contributions attendues au bien commun</w:t>
        </w:r>
        <w:r w:rsidR="00DD6F0C">
          <w:rPr>
            <w:webHidden/>
          </w:rPr>
          <w:tab/>
        </w:r>
        <w:r w:rsidR="00DD6F0C">
          <w:rPr>
            <w:webHidden/>
          </w:rPr>
          <w:fldChar w:fldCharType="begin"/>
        </w:r>
        <w:r w:rsidR="00DD6F0C">
          <w:rPr>
            <w:webHidden/>
          </w:rPr>
          <w:instrText xml:space="preserve"> PAGEREF _Toc140092176 \h </w:instrText>
        </w:r>
        <w:r w:rsidR="00DD6F0C">
          <w:rPr>
            <w:webHidden/>
          </w:rPr>
        </w:r>
        <w:r w:rsidR="00DD6F0C">
          <w:rPr>
            <w:webHidden/>
          </w:rPr>
          <w:fldChar w:fldCharType="separate"/>
        </w:r>
        <w:r>
          <w:rPr>
            <w:webHidden/>
          </w:rPr>
          <w:t>26</w:t>
        </w:r>
        <w:r w:rsidR="00DD6F0C">
          <w:rPr>
            <w:webHidden/>
          </w:rPr>
          <w:fldChar w:fldCharType="end"/>
        </w:r>
      </w:hyperlink>
    </w:p>
    <w:p w14:paraId="49956011" w14:textId="12BD905D" w:rsidR="00661A24" w:rsidRDefault="00AD6DC1">
      <w:pPr>
        <w:spacing w:after="120"/>
        <w:rPr>
          <w:rFonts w:ascii="Marianne" w:hAnsi="Marianne"/>
        </w:rPr>
      </w:pPr>
      <w:r>
        <w:rPr>
          <w:rFonts w:ascii="Marianne" w:hAnsi="Marianne"/>
        </w:rPr>
        <w:fldChar w:fldCharType="end"/>
      </w:r>
    </w:p>
    <w:p w14:paraId="02935920" w14:textId="77777777" w:rsidR="00661A24" w:rsidRDefault="00661A24">
      <w:pPr>
        <w:tabs>
          <w:tab w:val="left" w:pos="3152"/>
          <w:tab w:val="left" w:pos="5220"/>
        </w:tabs>
        <w:spacing w:after="120"/>
        <w:rPr>
          <w:rFonts w:ascii="Marianne" w:hAnsi="Marianne"/>
        </w:rPr>
      </w:pPr>
      <w:bookmarkStart w:id="6" w:name="_Toc10651051"/>
    </w:p>
    <w:p w14:paraId="69CED825" w14:textId="77777777" w:rsidR="00661A24" w:rsidRDefault="00661A24">
      <w:pPr>
        <w:tabs>
          <w:tab w:val="left" w:pos="5220"/>
        </w:tabs>
        <w:spacing w:after="120"/>
        <w:rPr>
          <w:rFonts w:ascii="Marianne" w:hAnsi="Marianne"/>
        </w:rPr>
      </w:pPr>
    </w:p>
    <w:p w14:paraId="3F46F423" w14:textId="77777777" w:rsidR="00661A24" w:rsidRDefault="00661A24">
      <w:pPr>
        <w:tabs>
          <w:tab w:val="left" w:pos="5220"/>
        </w:tabs>
        <w:spacing w:after="120"/>
        <w:rPr>
          <w:rFonts w:ascii="Marianne" w:hAnsi="Marianne"/>
        </w:rPr>
      </w:pPr>
    </w:p>
    <w:p w14:paraId="2010B464" w14:textId="77777777" w:rsidR="00661A24" w:rsidRDefault="00661A24">
      <w:pPr>
        <w:tabs>
          <w:tab w:val="left" w:pos="5220"/>
        </w:tabs>
        <w:spacing w:after="120"/>
        <w:rPr>
          <w:rFonts w:ascii="Marianne" w:hAnsi="Marianne"/>
        </w:rPr>
      </w:pPr>
    </w:p>
    <w:p w14:paraId="3BE5135B" w14:textId="77777777" w:rsidR="00661A24" w:rsidRDefault="00661A24">
      <w:pPr>
        <w:tabs>
          <w:tab w:val="left" w:pos="5220"/>
        </w:tabs>
        <w:spacing w:after="120"/>
        <w:rPr>
          <w:rFonts w:ascii="Marianne" w:hAnsi="Marianne"/>
        </w:rPr>
      </w:pPr>
    </w:p>
    <w:p w14:paraId="5E245848" w14:textId="77777777" w:rsidR="00661A24" w:rsidRDefault="00661A24">
      <w:pPr>
        <w:tabs>
          <w:tab w:val="left" w:pos="5220"/>
        </w:tabs>
        <w:spacing w:after="120"/>
        <w:rPr>
          <w:rFonts w:ascii="Marianne" w:hAnsi="Marianne"/>
        </w:rPr>
      </w:pPr>
    </w:p>
    <w:p w14:paraId="335BB446" w14:textId="77777777" w:rsidR="00661A24" w:rsidRDefault="00661A24">
      <w:pPr>
        <w:tabs>
          <w:tab w:val="left" w:pos="5220"/>
        </w:tabs>
        <w:spacing w:after="120"/>
        <w:rPr>
          <w:rFonts w:ascii="Marianne" w:hAnsi="Marianne"/>
        </w:rPr>
      </w:pPr>
    </w:p>
    <w:p w14:paraId="601FAD68" w14:textId="77777777" w:rsidR="00661A24" w:rsidRDefault="00661A24">
      <w:pPr>
        <w:tabs>
          <w:tab w:val="left" w:pos="5220"/>
        </w:tabs>
        <w:spacing w:after="120"/>
        <w:rPr>
          <w:rFonts w:ascii="Marianne" w:hAnsi="Marianne"/>
        </w:rPr>
      </w:pPr>
    </w:p>
    <w:p w14:paraId="3A4C4FAA" w14:textId="77777777" w:rsidR="00661A24" w:rsidRDefault="00661A24">
      <w:pPr>
        <w:tabs>
          <w:tab w:val="left" w:pos="5220"/>
        </w:tabs>
        <w:spacing w:after="120"/>
        <w:rPr>
          <w:rFonts w:ascii="Marianne" w:hAnsi="Marianne"/>
        </w:rPr>
      </w:pPr>
    </w:p>
    <w:p w14:paraId="2BEE8569" w14:textId="77777777" w:rsidR="00661A24" w:rsidRDefault="00661A24">
      <w:pPr>
        <w:tabs>
          <w:tab w:val="left" w:pos="5220"/>
        </w:tabs>
        <w:spacing w:after="120"/>
        <w:rPr>
          <w:rFonts w:ascii="Marianne" w:hAnsi="Marianne"/>
        </w:rPr>
      </w:pPr>
    </w:p>
    <w:p w14:paraId="7880DE4A" w14:textId="77777777" w:rsidR="00661A24" w:rsidRDefault="00AD6DC1">
      <w:pPr>
        <w:pStyle w:val="Titre1"/>
        <w:spacing w:before="0" w:after="120" w:line="240" w:lineRule="auto"/>
        <w:rPr>
          <w:rFonts w:ascii="Marianne" w:hAnsi="Marianne"/>
          <w:color w:val="002060"/>
        </w:rPr>
      </w:pPr>
      <w:bookmarkStart w:id="7" w:name="_Toc76110395"/>
      <w:bookmarkStart w:id="8" w:name="_Toc74823224"/>
      <w:bookmarkStart w:id="9" w:name="_Toc75875322"/>
      <w:bookmarkStart w:id="10" w:name="_Toc140092156"/>
      <w:bookmarkEnd w:id="7"/>
      <w:r>
        <w:rPr>
          <w:rFonts w:ascii="Marianne" w:hAnsi="Marianne"/>
          <w:color w:val="002060"/>
        </w:rPr>
        <w:t>Liste des documents constitutifs d’un dossier</w:t>
      </w:r>
      <w:bookmarkEnd w:id="8"/>
      <w:bookmarkEnd w:id="9"/>
      <w:bookmarkEnd w:id="10"/>
    </w:p>
    <w:p w14:paraId="02DCB239" w14:textId="77777777" w:rsidR="00661A24" w:rsidRDefault="00661A24">
      <w:pPr>
        <w:keepNext/>
        <w:keepLines/>
        <w:spacing w:before="280" w:after="240"/>
        <w:jc w:val="left"/>
        <w:outlineLvl w:val="1"/>
        <w:rPr>
          <w:rFonts w:ascii="Marianne" w:hAnsi="Marianne"/>
          <w:b/>
          <w:vanish/>
        </w:rPr>
      </w:pPr>
      <w:bookmarkStart w:id="11" w:name="_Toc74823225"/>
    </w:p>
    <w:p w14:paraId="67ADF990" w14:textId="77777777" w:rsidR="00661A24" w:rsidRDefault="00AD6DC1">
      <w:pPr>
        <w:pStyle w:val="Titre2"/>
        <w:keepLines/>
        <w:spacing w:before="280" w:line="240" w:lineRule="auto"/>
        <w:jc w:val="left"/>
        <w:rPr>
          <w:rFonts w:ascii="Marianne" w:hAnsi="Marianne"/>
          <w:color w:val="000000"/>
        </w:rPr>
      </w:pPr>
      <w:bookmarkStart w:id="12" w:name="_Toc75875323"/>
      <w:bookmarkStart w:id="13" w:name="_Toc137484962"/>
      <w:bookmarkStart w:id="14" w:name="_Toc140092157"/>
      <w:r>
        <w:rPr>
          <w:rFonts w:ascii="Marianne" w:hAnsi="Marianne"/>
          <w:color w:val="000000"/>
        </w:rPr>
        <w:t>Pour un pré-dépôt</w:t>
      </w:r>
      <w:bookmarkEnd w:id="11"/>
      <w:bookmarkEnd w:id="12"/>
      <w:bookmarkEnd w:id="13"/>
      <w:bookmarkEnd w:id="14"/>
    </w:p>
    <w:p w14:paraId="184C06BF" w14:textId="77777777" w:rsidR="00661A24" w:rsidRDefault="00AD6DC1">
      <w:pPr>
        <w:rPr>
          <w:rFonts w:ascii="Marianne" w:hAnsi="Marianne"/>
          <w:b/>
        </w:rPr>
      </w:pPr>
      <w:r>
        <w:rPr>
          <w:rFonts w:ascii="Marianne" w:hAnsi="Marianne"/>
          <w:b/>
        </w:rPr>
        <w:t xml:space="preserve">Annexe 2 : </w:t>
      </w:r>
      <w:r>
        <w:rPr>
          <w:rFonts w:ascii="Marianne" w:hAnsi="Marianne"/>
          <w:b/>
        </w:rPr>
        <w:tab/>
      </w:r>
      <w:r>
        <w:rPr>
          <w:rFonts w:ascii="Marianne" w:hAnsi="Marianne"/>
        </w:rPr>
        <w:t>Modèle de présentation du projet pour le pré-dépôt</w:t>
      </w:r>
    </w:p>
    <w:p w14:paraId="37AB9A6A" w14:textId="77777777" w:rsidR="00661A24" w:rsidRDefault="00AD6DC1">
      <w:pPr>
        <w:pStyle w:val="Titre2"/>
        <w:keepLines/>
        <w:spacing w:before="280" w:line="240" w:lineRule="auto"/>
        <w:jc w:val="left"/>
        <w:rPr>
          <w:rFonts w:ascii="Marianne" w:hAnsi="Marianne"/>
          <w:color w:val="000000"/>
        </w:rPr>
      </w:pPr>
      <w:bookmarkStart w:id="15" w:name="_Toc74823226"/>
      <w:bookmarkStart w:id="16" w:name="_Toc75875324"/>
      <w:bookmarkStart w:id="17" w:name="_Toc137484963"/>
      <w:bookmarkStart w:id="18" w:name="_Toc140092158"/>
      <w:r>
        <w:rPr>
          <w:rFonts w:ascii="Marianne" w:hAnsi="Marianne"/>
          <w:color w:val="000000"/>
        </w:rPr>
        <w:t>Pour un dépôt complet</w:t>
      </w:r>
      <w:bookmarkEnd w:id="15"/>
      <w:bookmarkEnd w:id="16"/>
      <w:bookmarkEnd w:id="17"/>
      <w:bookmarkEnd w:id="18"/>
      <w:r>
        <w:rPr>
          <w:rFonts w:ascii="Marianne" w:hAnsi="Marianne"/>
          <w:color w:val="000000"/>
        </w:rPr>
        <w:t> </w:t>
      </w:r>
    </w:p>
    <w:p w14:paraId="4D4FA3DB" w14:textId="77777777" w:rsidR="00661A24" w:rsidRDefault="00AD6DC1">
      <w:pPr>
        <w:rPr>
          <w:rFonts w:ascii="Marianne" w:hAnsi="Marianne"/>
          <w:b/>
        </w:rPr>
      </w:pPr>
      <w:r>
        <w:rPr>
          <w:rFonts w:ascii="Marianne" w:hAnsi="Marianne"/>
          <w:b/>
        </w:rPr>
        <w:t>Commun à tous les partenaires</w:t>
      </w:r>
      <w:r>
        <w:rPr>
          <w:rFonts w:ascii="Calibri" w:hAnsi="Calibri" w:cs="Calibri"/>
          <w:b/>
        </w:rPr>
        <w:t> </w:t>
      </w:r>
      <w:r>
        <w:rPr>
          <w:rFonts w:ascii="Marianne" w:hAnsi="Marianne"/>
          <w:b/>
        </w:rPr>
        <w:t xml:space="preserve">: </w:t>
      </w:r>
    </w:p>
    <w:p w14:paraId="034DF01D"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2 : </w:t>
      </w:r>
      <w:r>
        <w:rPr>
          <w:rFonts w:ascii="Marianne" w:hAnsi="Marianne"/>
          <w:b/>
        </w:rPr>
        <w:tab/>
      </w:r>
      <w:r>
        <w:rPr>
          <w:rFonts w:ascii="Marianne" w:hAnsi="Marianne"/>
        </w:rPr>
        <w:t>Modèle de présentation du projet pour la réunion de pré-dépôt</w:t>
      </w:r>
    </w:p>
    <w:p w14:paraId="60013D0F"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3.a : </w:t>
      </w:r>
      <w:r>
        <w:rPr>
          <w:rFonts w:ascii="Marianne" w:hAnsi="Marianne"/>
          <w:b/>
        </w:rPr>
        <w:tab/>
      </w:r>
      <w:r>
        <w:rPr>
          <w:rFonts w:ascii="Marianne" w:hAnsi="Marianne"/>
        </w:rPr>
        <w:t>Descriptif détaillé du projet</w:t>
      </w:r>
    </w:p>
    <w:p w14:paraId="2A904EF5"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4 : </w:t>
      </w:r>
      <w:r>
        <w:rPr>
          <w:rFonts w:ascii="Marianne" w:hAnsi="Marianne"/>
          <w:b/>
        </w:rPr>
        <w:tab/>
      </w:r>
      <w:r>
        <w:rPr>
          <w:rFonts w:ascii="Marianne" w:hAnsi="Marianne"/>
        </w:rPr>
        <w:t>Base de données des coûts du projet</w:t>
      </w:r>
    </w:p>
    <w:p w14:paraId="7D31C3B3" w14:textId="77777777" w:rsidR="00661A24" w:rsidRDefault="00AD6DC1">
      <w:pPr>
        <w:pStyle w:val="Paragraphedeliste"/>
        <w:numPr>
          <w:ilvl w:val="0"/>
          <w:numId w:val="14"/>
        </w:numPr>
        <w:spacing w:before="120" w:after="180"/>
        <w:rPr>
          <w:rFonts w:ascii="Marianne" w:hAnsi="Marianne"/>
          <w:b/>
        </w:rPr>
      </w:pPr>
      <w:r>
        <w:rPr>
          <w:rFonts w:ascii="Marianne" w:hAnsi="Marianne"/>
          <w:b/>
        </w:rPr>
        <w:t>Annexe 5 :</w:t>
      </w:r>
      <w:r>
        <w:rPr>
          <w:rFonts w:ascii="Marianne" w:hAnsi="Marianne"/>
          <w:b/>
        </w:rPr>
        <w:tab/>
      </w:r>
      <w:r>
        <w:rPr>
          <w:rFonts w:ascii="Marianne" w:hAnsi="Marianne"/>
        </w:rPr>
        <w:t xml:space="preserve">Grille d’impacts </w:t>
      </w:r>
    </w:p>
    <w:p w14:paraId="792D9ACB" w14:textId="77777777" w:rsidR="00661A24" w:rsidRDefault="00AD6DC1">
      <w:pPr>
        <w:pStyle w:val="Paragraphedeliste"/>
        <w:numPr>
          <w:ilvl w:val="0"/>
          <w:numId w:val="14"/>
        </w:numPr>
        <w:spacing w:before="120" w:after="180"/>
        <w:rPr>
          <w:rFonts w:ascii="Marianne" w:hAnsi="Marianne"/>
        </w:rPr>
      </w:pPr>
      <w:r>
        <w:rPr>
          <w:rFonts w:ascii="Marianne" w:hAnsi="Marianne"/>
          <w:b/>
        </w:rPr>
        <w:t>Annexe 8</w:t>
      </w:r>
      <w:r>
        <w:rPr>
          <w:rFonts w:ascii="Calibri" w:hAnsi="Calibri" w:cs="Calibri"/>
          <w:b/>
        </w:rPr>
        <w:t> </w:t>
      </w:r>
      <w:r>
        <w:rPr>
          <w:rFonts w:ascii="Marianne" w:hAnsi="Marianne"/>
          <w:b/>
        </w:rPr>
        <w:t>:</w:t>
      </w:r>
      <w:r>
        <w:rPr>
          <w:rFonts w:ascii="Marianne" w:hAnsi="Marianne"/>
          <w:b/>
        </w:rPr>
        <w:tab/>
      </w:r>
      <w:r>
        <w:rPr>
          <w:rFonts w:ascii="Marianne" w:hAnsi="Marianne"/>
        </w:rPr>
        <w:t>Fiche Lauréat</w:t>
      </w:r>
    </w:p>
    <w:p w14:paraId="659845D2" w14:textId="77777777" w:rsidR="00661A24" w:rsidRDefault="00AD6DC1">
      <w:pPr>
        <w:rPr>
          <w:rFonts w:ascii="Marianne" w:hAnsi="Marianne"/>
          <w:b/>
        </w:rPr>
      </w:pPr>
      <w:r>
        <w:rPr>
          <w:rFonts w:ascii="Marianne" w:hAnsi="Marianne"/>
          <w:b/>
        </w:rPr>
        <w:t>Spécifique à chaque demandeur d’aide</w:t>
      </w:r>
      <w:r>
        <w:rPr>
          <w:rFonts w:ascii="Calibri" w:hAnsi="Calibri" w:cs="Calibri"/>
          <w:b/>
        </w:rPr>
        <w:t> </w:t>
      </w:r>
      <w:r>
        <w:rPr>
          <w:rFonts w:ascii="Marianne" w:hAnsi="Marianne"/>
          <w:b/>
        </w:rPr>
        <w:t xml:space="preserve">: </w:t>
      </w:r>
    </w:p>
    <w:p w14:paraId="1DBB6EAB" w14:textId="77777777" w:rsidR="00661A24" w:rsidRDefault="00AD6DC1">
      <w:pPr>
        <w:pStyle w:val="Paragraphedeliste"/>
        <w:numPr>
          <w:ilvl w:val="0"/>
          <w:numId w:val="14"/>
        </w:numPr>
        <w:spacing w:before="120" w:after="180"/>
        <w:rPr>
          <w:rFonts w:ascii="Marianne" w:hAnsi="Marianne"/>
          <w:b/>
        </w:rPr>
      </w:pPr>
      <w:r>
        <w:rPr>
          <w:rFonts w:ascii="Marianne" w:hAnsi="Marianne"/>
          <w:b/>
        </w:rPr>
        <w:t>Annexe 1 :</w:t>
      </w:r>
      <w:r>
        <w:rPr>
          <w:rFonts w:ascii="Marianne" w:hAnsi="Marianne"/>
          <w:b/>
        </w:rPr>
        <w:tab/>
      </w:r>
      <w:r>
        <w:rPr>
          <w:rFonts w:ascii="Marianne" w:hAnsi="Marianne"/>
        </w:rPr>
        <w:t>Conditions Générales France 2030</w:t>
      </w:r>
    </w:p>
    <w:p w14:paraId="3A9166BF"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3.b : </w:t>
      </w:r>
      <w:r>
        <w:rPr>
          <w:rFonts w:ascii="Marianne" w:hAnsi="Marianne"/>
          <w:b/>
        </w:rPr>
        <w:tab/>
      </w:r>
      <w:r>
        <w:rPr>
          <w:rFonts w:ascii="Marianne" w:hAnsi="Marianne"/>
        </w:rPr>
        <w:t>Descriptif du partenaire (pour acteurs économiques uniquement)</w:t>
      </w:r>
    </w:p>
    <w:p w14:paraId="771F71F1" w14:textId="77777777" w:rsidR="00661A24" w:rsidRDefault="00AD6DC1">
      <w:pPr>
        <w:pStyle w:val="Paragraphedeliste"/>
        <w:numPr>
          <w:ilvl w:val="0"/>
          <w:numId w:val="14"/>
        </w:numPr>
        <w:spacing w:before="120" w:after="180"/>
        <w:rPr>
          <w:rFonts w:ascii="Marianne" w:hAnsi="Marianne"/>
          <w:b/>
        </w:rPr>
      </w:pPr>
      <w:r>
        <w:rPr>
          <w:rFonts w:ascii="Marianne" w:hAnsi="Marianne"/>
          <w:b/>
        </w:rPr>
        <w:t>Annexe 3.c :</w:t>
      </w:r>
      <w:r>
        <w:rPr>
          <w:rFonts w:ascii="Marianne" w:hAnsi="Marianne"/>
          <w:b/>
        </w:rPr>
        <w:tab/>
      </w:r>
      <w:r>
        <w:rPr>
          <w:rFonts w:ascii="Marianne" w:hAnsi="Marianne"/>
        </w:rPr>
        <w:t>Déclarations administratives</w:t>
      </w:r>
    </w:p>
    <w:p w14:paraId="0C633279" w14:textId="77777777" w:rsidR="00661A24" w:rsidRDefault="00AD6DC1">
      <w:pPr>
        <w:pStyle w:val="Paragraphedeliste"/>
        <w:numPr>
          <w:ilvl w:val="0"/>
          <w:numId w:val="14"/>
        </w:numPr>
        <w:spacing w:before="120" w:after="180"/>
        <w:rPr>
          <w:rFonts w:ascii="Marianne" w:hAnsi="Marianne"/>
        </w:rPr>
      </w:pPr>
      <w:r>
        <w:rPr>
          <w:rFonts w:ascii="Marianne" w:hAnsi="Marianne"/>
          <w:b/>
        </w:rPr>
        <w:t>Annexe 6 :</w:t>
      </w:r>
      <w:r>
        <w:rPr>
          <w:rFonts w:ascii="Marianne" w:hAnsi="Marianne"/>
          <w:b/>
        </w:rPr>
        <w:tab/>
      </w:r>
      <w:r>
        <w:rPr>
          <w:rFonts w:ascii="Marianne" w:hAnsi="Marianne"/>
        </w:rPr>
        <w:t>Eléments financiers (pour acteurs économiques uniquement)</w:t>
      </w:r>
    </w:p>
    <w:p w14:paraId="5494129D" w14:textId="77777777" w:rsidR="00661A24" w:rsidRDefault="00AD6DC1">
      <w:pPr>
        <w:pStyle w:val="Paragraphedeliste"/>
        <w:numPr>
          <w:ilvl w:val="0"/>
          <w:numId w:val="14"/>
        </w:numPr>
        <w:spacing w:before="120" w:after="180"/>
        <w:rPr>
          <w:rFonts w:ascii="Marianne" w:hAnsi="Marianne"/>
        </w:rPr>
      </w:pPr>
      <w:r>
        <w:rPr>
          <w:rFonts w:ascii="Marianne" w:hAnsi="Marianne"/>
          <w:b/>
        </w:rPr>
        <w:t>Annexe 7</w:t>
      </w:r>
      <w:r>
        <w:rPr>
          <w:rFonts w:ascii="Calibri" w:hAnsi="Calibri" w:cs="Calibri"/>
          <w:b/>
        </w:rPr>
        <w:t> </w:t>
      </w:r>
      <w:r>
        <w:rPr>
          <w:rFonts w:ascii="Marianne" w:hAnsi="Marianne"/>
          <w:b/>
        </w:rPr>
        <w:t xml:space="preserve">: </w:t>
      </w:r>
      <w:r>
        <w:rPr>
          <w:rFonts w:ascii="Marianne" w:hAnsi="Marianne"/>
          <w:b/>
        </w:rPr>
        <w:tab/>
      </w:r>
      <w:r>
        <w:rPr>
          <w:rFonts w:ascii="Marianne" w:hAnsi="Marianne"/>
        </w:rPr>
        <w:t>Attestation de santé financière</w:t>
      </w:r>
    </w:p>
    <w:p w14:paraId="4F9AF5E3" w14:textId="77777777" w:rsidR="00661A24" w:rsidRDefault="00AD6DC1">
      <w:pPr>
        <w:rPr>
          <w:rFonts w:ascii="Marianne" w:hAnsi="Marianne"/>
          <w:b/>
          <w:bCs/>
        </w:rPr>
      </w:pPr>
      <w:r>
        <w:rPr>
          <w:rFonts w:ascii="Marianne" w:hAnsi="Marianne"/>
          <w:b/>
        </w:rPr>
        <w:t>KBIS, RIB, 3 dernières liasses fiscales</w:t>
      </w:r>
      <w:bookmarkEnd w:id="6"/>
    </w:p>
    <w:p w14:paraId="06D7F20A" w14:textId="77777777" w:rsidR="00661A24" w:rsidRDefault="00661A24">
      <w:pPr>
        <w:rPr>
          <w:rFonts w:ascii="Marianne" w:hAnsi="Marianne"/>
          <w:b/>
        </w:rPr>
      </w:pPr>
    </w:p>
    <w:p w14:paraId="256D24AE" w14:textId="77777777" w:rsidR="00661A24" w:rsidRDefault="00AD6DC1">
      <w:pPr>
        <w:tabs>
          <w:tab w:val="left" w:pos="5475"/>
        </w:tabs>
        <w:spacing w:after="120"/>
        <w:rPr>
          <w:rFonts w:ascii="Marianne" w:hAnsi="Marianne"/>
        </w:rPr>
      </w:pPr>
      <w:r>
        <w:rPr>
          <w:rFonts w:ascii="Marianne" w:hAnsi="Marianne"/>
        </w:rPr>
        <w:br w:type="page"/>
      </w:r>
    </w:p>
    <w:p w14:paraId="6724DFC8" w14:textId="7EC7CB40" w:rsidR="00661A24" w:rsidRDefault="00AD6DC1">
      <w:pPr>
        <w:pStyle w:val="Titre1"/>
        <w:spacing w:before="0" w:after="120" w:line="240" w:lineRule="auto"/>
        <w:rPr>
          <w:rFonts w:ascii="Marianne" w:hAnsi="Marianne"/>
          <w:color w:val="002060"/>
        </w:rPr>
      </w:pPr>
      <w:bookmarkStart w:id="19" w:name="_3znysh7" w:colFirst="0" w:colLast="0"/>
      <w:bookmarkStart w:id="20" w:name="_Toc140092159"/>
      <w:bookmarkEnd w:id="19"/>
      <w:r>
        <w:rPr>
          <w:rFonts w:ascii="Marianne" w:hAnsi="Marianne"/>
          <w:color w:val="002060"/>
        </w:rPr>
        <w:lastRenderedPageBreak/>
        <w:t>Cadre général de l’</w:t>
      </w:r>
      <w:r w:rsidR="00AC6EB4">
        <w:rPr>
          <w:rFonts w:ascii="Marianne" w:hAnsi="Marianne"/>
          <w:color w:val="002060"/>
        </w:rPr>
        <w:t>appel à projets (aap)</w:t>
      </w:r>
      <w:bookmarkEnd w:id="20"/>
    </w:p>
    <w:p w14:paraId="0CA9DAD2" w14:textId="77777777" w:rsidR="00661A24" w:rsidRDefault="00AD6DC1">
      <w:pPr>
        <w:keepNext/>
        <w:keepLines/>
        <w:numPr>
          <w:ilvl w:val="1"/>
          <w:numId w:val="2"/>
        </w:numPr>
        <w:spacing w:before="280" w:after="240"/>
        <w:jc w:val="left"/>
        <w:outlineLvl w:val="1"/>
        <w:rPr>
          <w:rFonts w:ascii="Marianne" w:hAnsi="Marianne"/>
          <w:b/>
          <w:bCs/>
          <w:color w:val="000000"/>
        </w:rPr>
      </w:pPr>
      <w:bookmarkStart w:id="21" w:name="_2et92p0" w:colFirst="0" w:colLast="0"/>
      <w:bookmarkStart w:id="22" w:name="_Toc10651053"/>
      <w:bookmarkStart w:id="23" w:name="_Toc137484965"/>
      <w:bookmarkStart w:id="24" w:name="_Toc140092160"/>
      <w:bookmarkEnd w:id="21"/>
      <w:r>
        <w:rPr>
          <w:rFonts w:ascii="Marianne" w:hAnsi="Marianne"/>
          <w:b/>
          <w:bCs/>
          <w:color w:val="000000"/>
        </w:rPr>
        <w:t xml:space="preserve">Contexte </w:t>
      </w:r>
      <w:bookmarkEnd w:id="22"/>
      <w:r>
        <w:rPr>
          <w:rFonts w:ascii="Marianne" w:hAnsi="Marianne"/>
          <w:b/>
          <w:bCs/>
          <w:color w:val="000000"/>
        </w:rPr>
        <w:t>de l’AAP</w:t>
      </w:r>
      <w:bookmarkEnd w:id="23"/>
      <w:bookmarkEnd w:id="24"/>
    </w:p>
    <w:p w14:paraId="6B3C51A0" w14:textId="77777777" w:rsidR="00661A24" w:rsidRDefault="00AD6DC1">
      <w:pPr>
        <w:pStyle w:val="Corpsdetexte"/>
        <w:rPr>
          <w:bCs/>
        </w:rPr>
      </w:pPr>
      <w:bookmarkStart w:id="25" w:name="_Toc137484966"/>
      <w:r>
        <w:rPr>
          <w:bCs/>
        </w:rPr>
        <w:t>Le plan d’investissement France 2030 :</w:t>
      </w:r>
      <w:bookmarkEnd w:id="25"/>
    </w:p>
    <w:p w14:paraId="04144ED4" w14:textId="77777777" w:rsidR="00661A24" w:rsidRDefault="00661A24">
      <w:pPr>
        <w:pStyle w:val="Corpsdetexte"/>
        <w:rPr>
          <w:b/>
        </w:rPr>
      </w:pPr>
    </w:p>
    <w:p w14:paraId="1A20DD7B" w14:textId="3B70C6A7"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bookmarkStart w:id="26" w:name="_Toc137484967"/>
      <w:r>
        <w:rPr>
          <w:rFonts w:ascii="Marianne" w:eastAsia="Arial" w:hAnsi="Marianne"/>
          <w:color w:val="auto"/>
          <w:sz w:val="22"/>
          <w:szCs w:val="22"/>
          <w:lang w:eastAsia="fr-FR" w:bidi="ar-SA"/>
        </w:rPr>
        <w:t>Traduit une double ambition : transformer durablement des secteurs c</w:t>
      </w:r>
      <w:r w:rsidR="00AC6EB4">
        <w:rPr>
          <w:rFonts w:ascii="Marianne" w:eastAsia="Arial" w:hAnsi="Marianne"/>
          <w:color w:val="auto"/>
          <w:sz w:val="22"/>
          <w:szCs w:val="22"/>
          <w:lang w:eastAsia="fr-FR" w:bidi="ar-SA"/>
        </w:rPr>
        <w:t>lefs de notre économie (énergie</w:t>
      </w:r>
      <w:r>
        <w:rPr>
          <w:rFonts w:ascii="Marianne" w:eastAsia="Arial" w:hAnsi="Marianne"/>
          <w:color w:val="auto"/>
          <w:sz w:val="22"/>
          <w:szCs w:val="22"/>
          <w:lang w:eastAsia="fr-FR" w:bidi="ar-SA"/>
        </w:rPr>
        <w:t xml:space="preserve"> automobile, aéronautique ou encore espace)</w:t>
      </w:r>
      <w:r w:rsidR="00AC6EB4">
        <w:rPr>
          <w:rFonts w:ascii="Marianne" w:eastAsia="Arial" w:hAnsi="Marianne"/>
          <w:color w:val="auto"/>
          <w:sz w:val="22"/>
          <w:szCs w:val="22"/>
          <w:lang w:eastAsia="fr-FR" w:bidi="ar-SA"/>
        </w:rPr>
        <w:t xml:space="preserve"> par l’innovation technologique</w:t>
      </w:r>
      <w:r>
        <w:rPr>
          <w:rFonts w:ascii="Marianne" w:eastAsia="Arial" w:hAnsi="Marianne"/>
          <w:color w:val="auto"/>
          <w:sz w:val="22"/>
          <w:szCs w:val="22"/>
          <w:lang w:eastAsia="fr-FR" w:bidi="ar-SA"/>
        </w:rPr>
        <w:t xml:space="preserve"> et positionner la France non pas seulement en acteur, mais bien en </w:t>
      </w:r>
      <w:r w:rsidRPr="00AC6EB4">
        <w:rPr>
          <w:rFonts w:ascii="Marianne" w:eastAsia="Arial" w:hAnsi="Marianne"/>
          <w:i/>
          <w:color w:val="auto"/>
          <w:sz w:val="22"/>
          <w:szCs w:val="22"/>
          <w:lang w:eastAsia="fr-FR" w:bidi="ar-SA"/>
        </w:rPr>
        <w:t>leader</w:t>
      </w:r>
      <w:r>
        <w:rPr>
          <w:rFonts w:ascii="Marianne" w:eastAsia="Arial" w:hAnsi="Marianne"/>
          <w:color w:val="auto"/>
          <w:sz w:val="22"/>
          <w:szCs w:val="22"/>
          <w:lang w:eastAsia="fr-FR" w:bidi="ar-SA"/>
        </w:rPr>
        <w:t xml:space="preserve"> du monde de demain. De la recherche fondamentale, à l’émergence d’une idée jusqu’à la production d’un produit ou service nouveau, France 2030 soutient tout le cycle de vie de l’innovation jusqu’à son industrialisation.</w:t>
      </w:r>
      <w:bookmarkEnd w:id="26"/>
    </w:p>
    <w:p w14:paraId="79DD6F94" w14:textId="77777777" w:rsidR="00661A24" w:rsidRDefault="00661A24">
      <w:pPr>
        <w:pStyle w:val="Normal11"/>
        <w:spacing w:line="276" w:lineRule="auto"/>
        <w:jc w:val="both"/>
        <w:rPr>
          <w:rFonts w:ascii="Marianne" w:eastAsia="Arial" w:hAnsi="Marianne"/>
          <w:color w:val="auto"/>
          <w:sz w:val="22"/>
          <w:szCs w:val="22"/>
          <w:lang w:eastAsia="fr-FR" w:bidi="ar-SA"/>
        </w:rPr>
      </w:pPr>
    </w:p>
    <w:p w14:paraId="3F0E6DF0" w14:textId="2B222FED"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bookmarkStart w:id="27" w:name="_Toc137484968"/>
      <w:r>
        <w:rPr>
          <w:rFonts w:ascii="Marianne" w:eastAsia="Arial" w:hAnsi="Marianne"/>
          <w:color w:val="auto"/>
          <w:sz w:val="22"/>
          <w:szCs w:val="22"/>
          <w:lang w:eastAsia="fr-FR" w:bidi="ar-SA"/>
        </w:rPr>
        <w:t xml:space="preserve">Est inédit par son ampleur </w:t>
      </w:r>
      <w:r w:rsidR="00AC6EB4">
        <w:rPr>
          <w:rFonts w:ascii="Marianne" w:eastAsia="Arial" w:hAnsi="Marianne"/>
          <w:color w:val="auto"/>
          <w:sz w:val="22"/>
          <w:szCs w:val="22"/>
          <w:lang w:eastAsia="fr-FR" w:bidi="ar-SA"/>
        </w:rPr>
        <w:t>: 54 milliards d’euros</w:t>
      </w:r>
      <w:r>
        <w:rPr>
          <w:rFonts w:ascii="Marianne" w:eastAsia="Arial" w:hAnsi="Marianne"/>
          <w:color w:val="auto"/>
          <w:sz w:val="22"/>
          <w:szCs w:val="22"/>
          <w:lang w:eastAsia="fr-FR" w:bidi="ar-SA"/>
        </w:rPr>
        <w:t xml:space="preserve"> seront investis pour que nos entreprises, nos universités, nos organismes de recherche, réussissent pleinement leurs transitions dans ces filières stratégiques. L’enjeu est de leur permettre de répondre de manière compétitive aux défis écologiques et d’</w:t>
      </w:r>
      <w:r w:rsidR="00AC6EB4">
        <w:rPr>
          <w:rFonts w:ascii="Marianne" w:eastAsia="Arial" w:hAnsi="Marianne"/>
          <w:color w:val="auto"/>
          <w:sz w:val="22"/>
          <w:szCs w:val="22"/>
          <w:lang w:eastAsia="fr-FR" w:bidi="ar-SA"/>
        </w:rPr>
        <w:t>attractivité du monde qui vient</w:t>
      </w:r>
      <w:r>
        <w:rPr>
          <w:rFonts w:ascii="Marianne" w:eastAsia="Arial" w:hAnsi="Marianne"/>
          <w:color w:val="auto"/>
          <w:sz w:val="22"/>
          <w:szCs w:val="22"/>
          <w:lang w:eastAsia="fr-FR" w:bidi="ar-SA"/>
        </w:rPr>
        <w:t xml:space="preserve"> et faire émerger les futurs champions de nos filières d’excellence. France 2030 est défini par deux objectifs transversaux consistant à consacrer 50 % de ses dépenses à la décarbonation de l’économie, et 50% à des acteurs émergents, porteurs d’innovation</w:t>
      </w:r>
      <w:r w:rsidR="008D7F4F">
        <w:rPr>
          <w:rFonts w:ascii="Marianne" w:eastAsia="Arial" w:hAnsi="Marianne"/>
          <w:color w:val="auto"/>
          <w:sz w:val="22"/>
          <w:szCs w:val="22"/>
          <w:lang w:eastAsia="fr-FR" w:bidi="ar-SA"/>
        </w:rPr>
        <w:t xml:space="preserve">, </w:t>
      </w:r>
      <w:r w:rsidR="008D7F4F">
        <w:t xml:space="preserve">et par l’exclusion de toute dépense </w:t>
      </w:r>
      <w:r>
        <w:rPr>
          <w:rFonts w:ascii="Marianne" w:eastAsia="Arial" w:hAnsi="Marianne"/>
          <w:color w:val="auto"/>
          <w:sz w:val="22"/>
          <w:szCs w:val="22"/>
          <w:lang w:eastAsia="fr-FR" w:bidi="ar-SA"/>
        </w:rPr>
        <w:t xml:space="preserve">défavorable à l’environnement (au sens du principe </w:t>
      </w:r>
      <w:r>
        <w:rPr>
          <w:rFonts w:ascii="Marianne" w:eastAsia="Arial" w:hAnsi="Marianne"/>
          <w:i/>
          <w:iCs/>
          <w:color w:val="auto"/>
          <w:sz w:val="22"/>
          <w:szCs w:val="22"/>
          <w:lang w:eastAsia="fr-FR" w:bidi="ar-SA"/>
        </w:rPr>
        <w:t xml:space="preserve">Do No </w:t>
      </w:r>
      <w:proofErr w:type="spellStart"/>
      <w:r>
        <w:rPr>
          <w:rFonts w:ascii="Marianne" w:eastAsia="Arial" w:hAnsi="Marianne"/>
          <w:i/>
          <w:iCs/>
          <w:color w:val="auto"/>
          <w:sz w:val="22"/>
          <w:szCs w:val="22"/>
          <w:lang w:eastAsia="fr-FR" w:bidi="ar-SA"/>
        </w:rPr>
        <w:t>Significant</w:t>
      </w:r>
      <w:proofErr w:type="spellEnd"/>
      <w:r>
        <w:rPr>
          <w:rFonts w:ascii="Marianne" w:eastAsia="Arial" w:hAnsi="Marianne"/>
          <w:i/>
          <w:iCs/>
          <w:color w:val="auto"/>
          <w:sz w:val="22"/>
          <w:szCs w:val="22"/>
          <w:lang w:eastAsia="fr-FR" w:bidi="ar-SA"/>
        </w:rPr>
        <w:t xml:space="preserve"> </w:t>
      </w:r>
      <w:proofErr w:type="spellStart"/>
      <w:r>
        <w:rPr>
          <w:rFonts w:ascii="Marianne" w:eastAsia="Arial" w:hAnsi="Marianne"/>
          <w:i/>
          <w:iCs/>
          <w:color w:val="auto"/>
          <w:sz w:val="22"/>
          <w:szCs w:val="22"/>
          <w:lang w:eastAsia="fr-FR" w:bidi="ar-SA"/>
        </w:rPr>
        <w:t>Harm</w:t>
      </w:r>
      <w:proofErr w:type="spellEnd"/>
      <w:r>
        <w:rPr>
          <w:rFonts w:ascii="Marianne" w:eastAsia="Arial" w:hAnsi="Marianne"/>
          <w:color w:val="auto"/>
          <w:sz w:val="22"/>
          <w:szCs w:val="22"/>
          <w:lang w:eastAsia="fr-FR" w:bidi="ar-SA"/>
        </w:rPr>
        <w:t>).</w:t>
      </w:r>
      <w:bookmarkEnd w:id="27"/>
    </w:p>
    <w:p w14:paraId="279C5CB1" w14:textId="77777777" w:rsidR="00661A24" w:rsidRDefault="00661A24">
      <w:pPr>
        <w:pStyle w:val="Normal11"/>
        <w:spacing w:line="276" w:lineRule="auto"/>
        <w:jc w:val="both"/>
        <w:rPr>
          <w:rFonts w:ascii="Marianne" w:eastAsia="Arial" w:hAnsi="Marianne"/>
          <w:color w:val="auto"/>
          <w:sz w:val="22"/>
          <w:szCs w:val="22"/>
          <w:lang w:eastAsia="fr-FR" w:bidi="ar-SA"/>
        </w:rPr>
      </w:pPr>
    </w:p>
    <w:p w14:paraId="349CB73C" w14:textId="77777777"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bookmarkStart w:id="28" w:name="_Toc137484969"/>
      <w:r>
        <w:rPr>
          <w:rFonts w:ascii="Marianne" w:eastAsia="Arial" w:hAnsi="Marianne"/>
          <w:color w:val="auto"/>
          <w:sz w:val="22"/>
          <w:szCs w:val="22"/>
          <w:lang w:eastAsia="fr-FR" w:bidi="ar-SA"/>
        </w:rPr>
        <w:t xml:space="preserve">Est mis en œuvre collectivement : pensé et déployé en concertation avec les acteurs économiques, académiques, locaux et européens pour en déterminer les orientations stratégiques et les actions phares. Les porteurs de projets sont invités à déposer leur dossier </w:t>
      </w:r>
      <w:r w:rsidRPr="00AC6EB4">
        <w:rPr>
          <w:rFonts w:ascii="Marianne" w:eastAsia="Arial" w:hAnsi="Marianne"/>
          <w:i/>
          <w:color w:val="auto"/>
          <w:sz w:val="22"/>
          <w:szCs w:val="22"/>
          <w:lang w:eastAsia="fr-FR" w:bidi="ar-SA"/>
        </w:rPr>
        <w:t>via</w:t>
      </w:r>
      <w:r>
        <w:rPr>
          <w:rFonts w:ascii="Marianne" w:eastAsia="Arial" w:hAnsi="Marianne"/>
          <w:color w:val="auto"/>
          <w:sz w:val="22"/>
          <w:szCs w:val="22"/>
          <w:lang w:eastAsia="fr-FR" w:bidi="ar-SA"/>
        </w:rPr>
        <w:t xml:space="preserve"> des procédures ouvertes, exigeantes et sélectives pour bénéficier de l’accompagnement de l’Etat.</w:t>
      </w:r>
      <w:bookmarkStart w:id="29" w:name="_Toc137484970"/>
      <w:bookmarkEnd w:id="28"/>
    </w:p>
    <w:p w14:paraId="7B2E56D4" w14:textId="77777777" w:rsidR="00661A24" w:rsidRDefault="00661A24">
      <w:pPr>
        <w:pStyle w:val="Paragraphedeliste"/>
        <w:rPr>
          <w:rFonts w:ascii="Marianne" w:hAnsi="Marianne"/>
        </w:rPr>
      </w:pPr>
    </w:p>
    <w:p w14:paraId="3BC601A5" w14:textId="29071D61"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r>
        <w:rPr>
          <w:rFonts w:ascii="Marianne" w:eastAsia="Arial" w:hAnsi="Marianne"/>
          <w:color w:val="auto"/>
          <w:sz w:val="22"/>
          <w:szCs w:val="22"/>
          <w:lang w:eastAsia="fr-FR" w:bidi="ar-SA"/>
        </w:rPr>
        <w:t xml:space="preserve">Est piloté par le Secrétariat général pour l’investissement pour le compte </w:t>
      </w:r>
      <w:r w:rsidR="00AC6EB4">
        <w:rPr>
          <w:rFonts w:ascii="Marianne" w:eastAsia="Arial" w:hAnsi="Marianne"/>
          <w:color w:val="auto"/>
          <w:sz w:val="22"/>
          <w:szCs w:val="22"/>
          <w:lang w:eastAsia="fr-FR" w:bidi="ar-SA"/>
        </w:rPr>
        <w:t>de la Première</w:t>
      </w:r>
      <w:r>
        <w:rPr>
          <w:rFonts w:ascii="Marianne" w:eastAsia="Arial" w:hAnsi="Marianne"/>
          <w:color w:val="auto"/>
          <w:sz w:val="22"/>
          <w:szCs w:val="22"/>
          <w:lang w:eastAsia="fr-FR" w:bidi="ar-SA"/>
        </w:rPr>
        <w:t xml:space="preserve"> ministre et mis en œuvre par l’Agence de la transition écologique (ADEME), l’Agence nationale de la recherche (ANR), Bpifrance, Banque publique d’investissement et la Caisse des Dépôts et Consignations (CDC).</w:t>
      </w:r>
      <w:bookmarkEnd w:id="29"/>
    </w:p>
    <w:p w14:paraId="3639EFE2" w14:textId="77777777" w:rsidR="00661A24" w:rsidRDefault="00661A24">
      <w:pPr>
        <w:rPr>
          <w:rFonts w:ascii="Marianne" w:hAnsi="Marianne"/>
        </w:rPr>
      </w:pPr>
    </w:p>
    <w:p w14:paraId="67B47BE1" w14:textId="77777777" w:rsidR="00661A24" w:rsidRDefault="00AD6DC1">
      <w:pPr>
        <w:rPr>
          <w:rFonts w:ascii="Marianne" w:hAnsi="Marianne"/>
          <w:b/>
          <w:bCs/>
        </w:rPr>
      </w:pPr>
      <w:r>
        <w:rPr>
          <w:rFonts w:ascii="Marianne" w:hAnsi="Marianne"/>
          <w:b/>
          <w:bCs/>
        </w:rPr>
        <w:t>Intégration de l’enjeu «</w:t>
      </w:r>
      <w:r>
        <w:rPr>
          <w:rFonts w:ascii="Calibri" w:hAnsi="Calibri" w:cs="Calibri"/>
          <w:b/>
          <w:bCs/>
        </w:rPr>
        <w:t> </w:t>
      </w:r>
      <w:r>
        <w:rPr>
          <w:rFonts w:ascii="Marianne" w:hAnsi="Marianne"/>
          <w:b/>
          <w:bCs/>
        </w:rPr>
        <w:t>eau</w:t>
      </w:r>
      <w:r>
        <w:rPr>
          <w:rFonts w:ascii="Calibri" w:hAnsi="Calibri" w:cs="Calibri"/>
          <w:b/>
          <w:bCs/>
        </w:rPr>
        <w:t> </w:t>
      </w:r>
      <w:r>
        <w:rPr>
          <w:rFonts w:ascii="Marianne" w:hAnsi="Marianne" w:cs="Marianne"/>
          <w:b/>
          <w:bCs/>
        </w:rPr>
        <w:t>»</w:t>
      </w:r>
      <w:r>
        <w:rPr>
          <w:rFonts w:ascii="Marianne" w:hAnsi="Marianne"/>
          <w:b/>
          <w:bCs/>
        </w:rPr>
        <w:t xml:space="preserve"> au sein du plan France 2030</w:t>
      </w:r>
      <w:r>
        <w:rPr>
          <w:rFonts w:ascii="Calibri" w:hAnsi="Calibri" w:cs="Calibri"/>
          <w:b/>
          <w:bCs/>
        </w:rPr>
        <w:t> </w:t>
      </w:r>
      <w:r>
        <w:rPr>
          <w:rFonts w:ascii="Marianne" w:hAnsi="Marianne"/>
          <w:b/>
          <w:bCs/>
        </w:rPr>
        <w:t xml:space="preserve">: </w:t>
      </w:r>
    </w:p>
    <w:p w14:paraId="12014B38" w14:textId="6E0C6A62" w:rsidR="00661A24" w:rsidRDefault="00AD6DC1">
      <w:pPr>
        <w:pStyle w:val="Normal11"/>
        <w:spacing w:before="240" w:after="480" w:line="276" w:lineRule="auto"/>
        <w:ind w:firstLine="720"/>
        <w:jc w:val="both"/>
        <w:rPr>
          <w:rFonts w:ascii="Marianne" w:hAnsi="Marianne"/>
          <w:sz w:val="22"/>
          <w:szCs w:val="22"/>
        </w:rPr>
      </w:pPr>
      <w:bookmarkStart w:id="30" w:name="_Toc137484971"/>
      <w:r>
        <w:rPr>
          <w:rFonts w:ascii="Marianne" w:hAnsi="Marianne"/>
          <w:sz w:val="22"/>
          <w:szCs w:val="22"/>
        </w:rPr>
        <w:t>Dans le contexte de la transition écologique, notre capacité de gestion de la ressource en eau d</w:t>
      </w:r>
      <w:r w:rsidR="008678E6">
        <w:rPr>
          <w:rFonts w:ascii="Marianne" w:hAnsi="Marianne"/>
          <w:sz w:val="22"/>
          <w:szCs w:val="22"/>
        </w:rPr>
        <w:t>evient une priorité stratégique</w:t>
      </w:r>
      <w:r>
        <w:rPr>
          <w:rFonts w:ascii="Marianne" w:hAnsi="Marianne"/>
          <w:sz w:val="22"/>
          <w:szCs w:val="22"/>
        </w:rPr>
        <w:t xml:space="preserve"> et nécessite des innovations de rupture, indispensables au maintien et à la création de projets de souveraineté </w:t>
      </w:r>
      <w:r>
        <w:rPr>
          <w:rFonts w:ascii="Marianne" w:hAnsi="Marianne"/>
          <w:sz w:val="22"/>
          <w:szCs w:val="22"/>
        </w:rPr>
        <w:lastRenderedPageBreak/>
        <w:t>industrielle</w:t>
      </w:r>
      <w:r>
        <w:rPr>
          <w:rFonts w:ascii="Marianne" w:hAnsi="Marianne" w:cs="Calibri"/>
          <w:sz w:val="22"/>
          <w:szCs w:val="22"/>
        </w:rPr>
        <w:t> </w:t>
      </w:r>
      <w:r>
        <w:rPr>
          <w:rFonts w:ascii="Marianne" w:hAnsi="Marianne"/>
          <w:sz w:val="22"/>
          <w:szCs w:val="22"/>
        </w:rPr>
        <w:t xml:space="preserve">: sobriété des usages dans </w:t>
      </w:r>
      <w:r>
        <w:rPr>
          <w:rFonts w:ascii="Marianne" w:hAnsi="Marianne"/>
          <w:color w:val="000000" w:themeColor="text1"/>
          <w:sz w:val="22"/>
          <w:szCs w:val="22"/>
        </w:rPr>
        <w:t xml:space="preserve">la </w:t>
      </w:r>
      <w:r>
        <w:rPr>
          <w:rFonts w:ascii="Marianne" w:hAnsi="Marianne"/>
          <w:sz w:val="22"/>
          <w:szCs w:val="22"/>
        </w:rPr>
        <w:t>durée et amélioration de la qualité de l’eau sont des enjeux de compétitivité économique dans un contexte de raréfaction des ressources à l’échelle mondiale du fait du dérèglement climatique (augmentation des aléas, de l’évaporation des eaux à toutes les saisons, fonte des glaciers</w:t>
      </w:r>
      <w:r w:rsidR="008678E6">
        <w:rPr>
          <w:rFonts w:ascii="Marianne" w:hAnsi="Marianne"/>
          <w:sz w:val="22"/>
          <w:szCs w:val="22"/>
        </w:rPr>
        <w:t>, etc.</w:t>
      </w:r>
      <w:r>
        <w:rPr>
          <w:rFonts w:ascii="Marianne" w:hAnsi="Marianne"/>
          <w:sz w:val="22"/>
          <w:szCs w:val="22"/>
        </w:rPr>
        <w:t>).</w:t>
      </w:r>
      <w:bookmarkEnd w:id="30"/>
      <w:r>
        <w:rPr>
          <w:rFonts w:ascii="Marianne" w:hAnsi="Marianne"/>
          <w:sz w:val="22"/>
          <w:szCs w:val="22"/>
        </w:rPr>
        <w:t xml:space="preserve"> </w:t>
      </w:r>
    </w:p>
    <w:p w14:paraId="56AF6D12" w14:textId="5D9F6056" w:rsidR="00661A24" w:rsidRDefault="00AD6DC1">
      <w:pPr>
        <w:pStyle w:val="Normal11"/>
        <w:spacing w:before="240" w:after="480" w:line="276" w:lineRule="auto"/>
        <w:jc w:val="both"/>
        <w:rPr>
          <w:rFonts w:ascii="Marianne" w:hAnsi="Marianne"/>
          <w:sz w:val="22"/>
          <w:szCs w:val="22"/>
        </w:rPr>
      </w:pPr>
      <w:bookmarkStart w:id="31" w:name="_Toc137484972"/>
      <w:r>
        <w:rPr>
          <w:rFonts w:ascii="Marianne" w:hAnsi="Marianne"/>
          <w:sz w:val="22"/>
          <w:szCs w:val="22"/>
        </w:rPr>
        <w:t>La filière économique française de l’eau est très riche et composée d’entreprises innovantes, des métiers de l’eau dans des secteurs traditionnels variés (hydrauliques, métallurgie, chimie) jusqu’aux métiers de l’électronique, de l’informatique, de la robotique, d</w:t>
      </w:r>
      <w:r w:rsidR="008678E6">
        <w:rPr>
          <w:rFonts w:ascii="Marianne" w:hAnsi="Marianne"/>
          <w:sz w:val="22"/>
          <w:szCs w:val="22"/>
        </w:rPr>
        <w:t>e l’imagerie spatiale et de l’intelligence artificielle. Les délais d’action étant contraints</w:t>
      </w:r>
      <w:r>
        <w:rPr>
          <w:rFonts w:ascii="Marianne" w:hAnsi="Marianne"/>
          <w:sz w:val="22"/>
          <w:szCs w:val="22"/>
        </w:rPr>
        <w:t xml:space="preserve"> en raison de l’accélération de la problématique quantitative de l’eau, l’écosystème économique de gestion de l’eau a besoin d’un soutien important pour permettre l’accélération des innovations. En encourageant l’expérimentation et la mise à l’échelle de solutions innovantes et viables, France 2030 </w:t>
      </w:r>
      <w:r w:rsidR="008678E6">
        <w:rPr>
          <w:rFonts w:ascii="Marianne" w:hAnsi="Marianne"/>
          <w:sz w:val="22"/>
          <w:szCs w:val="22"/>
        </w:rPr>
        <w:t>pourrait permettre</w:t>
      </w:r>
      <w:r>
        <w:rPr>
          <w:rFonts w:ascii="Marianne" w:hAnsi="Marianne"/>
          <w:sz w:val="22"/>
          <w:szCs w:val="22"/>
        </w:rPr>
        <w:t xml:space="preserve"> la future mise sur le marché européen et international de produits français de rupture.</w:t>
      </w:r>
      <w:bookmarkEnd w:id="31"/>
    </w:p>
    <w:p w14:paraId="28F79B49" w14:textId="651A963D" w:rsidR="00661A24" w:rsidRPr="00E1394B" w:rsidRDefault="008678E6" w:rsidP="00E1394B">
      <w:pPr>
        <w:pStyle w:val="Normal11"/>
        <w:spacing w:before="240" w:after="480" w:line="276" w:lineRule="auto"/>
        <w:jc w:val="both"/>
        <w:rPr>
          <w:rFonts w:ascii="Marianne" w:hAnsi="Marianne"/>
          <w:sz w:val="22"/>
          <w:szCs w:val="22"/>
        </w:rPr>
      </w:pPr>
      <w:r>
        <w:rPr>
          <w:rFonts w:ascii="Marianne" w:hAnsi="Marianne"/>
          <w:sz w:val="22"/>
          <w:szCs w:val="22"/>
        </w:rPr>
        <w:t xml:space="preserve">Le présent appel à projets </w:t>
      </w:r>
      <w:r w:rsidR="006A292E">
        <w:rPr>
          <w:rFonts w:ascii="Marianne" w:hAnsi="Marianne"/>
          <w:sz w:val="22"/>
          <w:szCs w:val="22"/>
        </w:rPr>
        <w:t xml:space="preserve">s’inscrit en complémentarité des </w:t>
      </w:r>
      <w:r>
        <w:rPr>
          <w:rFonts w:ascii="Marianne" w:hAnsi="Marianne"/>
          <w:sz w:val="22"/>
          <w:szCs w:val="22"/>
        </w:rPr>
        <w:t>outils de soutien</w:t>
      </w:r>
      <w:r w:rsidR="00AD6DC1" w:rsidRPr="00E1394B">
        <w:rPr>
          <w:rFonts w:ascii="Marianne" w:hAnsi="Marianne"/>
          <w:sz w:val="22"/>
          <w:szCs w:val="22"/>
        </w:rPr>
        <w:t xml:space="preserve"> déjà en place, nota</w:t>
      </w:r>
      <w:r w:rsidR="006A292E">
        <w:rPr>
          <w:rFonts w:ascii="Marianne" w:hAnsi="Marianne"/>
          <w:sz w:val="22"/>
          <w:szCs w:val="22"/>
        </w:rPr>
        <w:t xml:space="preserve">mment </w:t>
      </w:r>
      <w:r w:rsidR="006A292E" w:rsidRPr="006A292E">
        <w:rPr>
          <w:rFonts w:ascii="Marianne" w:hAnsi="Marianne"/>
          <w:i/>
          <w:sz w:val="22"/>
          <w:szCs w:val="22"/>
        </w:rPr>
        <w:t>via</w:t>
      </w:r>
      <w:r w:rsidR="006A292E">
        <w:rPr>
          <w:rFonts w:ascii="Marianne" w:hAnsi="Marianne"/>
          <w:sz w:val="22"/>
          <w:szCs w:val="22"/>
        </w:rPr>
        <w:t xml:space="preserve"> les Agences de l’eau placées sous tutelle ministérielle et dont l</w:t>
      </w:r>
      <w:r w:rsidR="00AD6DC1" w:rsidRPr="00E1394B">
        <w:rPr>
          <w:rFonts w:ascii="Marianne" w:hAnsi="Marianne"/>
          <w:sz w:val="22"/>
          <w:szCs w:val="22"/>
        </w:rPr>
        <w:t xml:space="preserve">es redevances sont réinvesties sous forme d’aides aux collectivités, acteurs économiques et agricoles </w:t>
      </w:r>
      <w:r w:rsidR="006A292E">
        <w:rPr>
          <w:rFonts w:ascii="Marianne" w:hAnsi="Marianne"/>
          <w:sz w:val="22"/>
          <w:szCs w:val="22"/>
        </w:rPr>
        <w:t>afin de</w:t>
      </w:r>
      <w:r w:rsidR="00AD6DC1" w:rsidRPr="00E1394B">
        <w:rPr>
          <w:rFonts w:ascii="Marianne" w:hAnsi="Marianne"/>
          <w:sz w:val="22"/>
          <w:szCs w:val="22"/>
        </w:rPr>
        <w:t xml:space="preserve"> financer des actions en faveur </w:t>
      </w:r>
      <w:r w:rsidR="006A292E">
        <w:rPr>
          <w:rFonts w:ascii="Marianne" w:hAnsi="Marianne"/>
          <w:sz w:val="22"/>
          <w:szCs w:val="22"/>
        </w:rPr>
        <w:t>de la qualité</w:t>
      </w:r>
      <w:r w:rsidR="00AD6DC1" w:rsidRPr="00E1394B">
        <w:rPr>
          <w:rFonts w:ascii="Marianne" w:hAnsi="Marianne"/>
          <w:sz w:val="22"/>
          <w:szCs w:val="22"/>
        </w:rPr>
        <w:t xml:space="preserve"> de l’eau et de l'adaptation au changement climatique. </w:t>
      </w:r>
    </w:p>
    <w:p w14:paraId="3E0D09EC" w14:textId="6CA355D7" w:rsidR="00661A24" w:rsidRPr="00E1394B"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t xml:space="preserve">Le présent </w:t>
      </w:r>
      <w:r w:rsidR="006A292E">
        <w:rPr>
          <w:rFonts w:ascii="Marianne" w:hAnsi="Marianne"/>
          <w:sz w:val="22"/>
          <w:szCs w:val="22"/>
        </w:rPr>
        <w:t>appel à projets</w:t>
      </w:r>
      <w:r w:rsidRPr="00E1394B">
        <w:rPr>
          <w:rFonts w:ascii="Marianne" w:hAnsi="Marianne"/>
          <w:sz w:val="22"/>
          <w:szCs w:val="22"/>
        </w:rPr>
        <w:t xml:space="preserve"> vise ainsi à soutenir des projets de recherche et développement portés par des entreprises petites, moyennes ou grandes, seules ou associées au sein d'un consortium, qui </w:t>
      </w:r>
      <w:r w:rsidR="006A292E">
        <w:rPr>
          <w:rFonts w:ascii="Marianne" w:hAnsi="Marianne"/>
          <w:sz w:val="22"/>
          <w:szCs w:val="22"/>
        </w:rPr>
        <w:t>visent à accélérer</w:t>
      </w:r>
      <w:r w:rsidRPr="00E1394B">
        <w:rPr>
          <w:rFonts w:ascii="Marianne" w:hAnsi="Marianne"/>
          <w:sz w:val="22"/>
          <w:szCs w:val="22"/>
        </w:rPr>
        <w:t xml:space="preserve"> la mise s</w:t>
      </w:r>
      <w:r w:rsidR="006A292E">
        <w:rPr>
          <w:rFonts w:ascii="Marianne" w:hAnsi="Marianne"/>
          <w:sz w:val="22"/>
          <w:szCs w:val="22"/>
        </w:rPr>
        <w:t xml:space="preserve">ur le marché de technologies </w:t>
      </w:r>
      <w:r w:rsidRPr="00E1394B">
        <w:rPr>
          <w:rFonts w:ascii="Marianne" w:hAnsi="Marianne"/>
          <w:sz w:val="22"/>
          <w:szCs w:val="22"/>
        </w:rPr>
        <w:t>ou de solutions ambitieuses, innovantes et durables, depuis les phases de recherche industrielle jusqu'à la démonstration de l'intérêt d'une solution dans son environnement opérationnel. Les projets retenus devront documenter leurs impacts environnementaux, positifs et négatifs, via la réalisation d’une évaluation environnementale de type analyse de cycle de vie (ACV) comparative (la justification du choix de la solution de référence par rapport à l’usage sera attendue). Les dossiers présenteront également une première analyse des risques climatiques physiques auxquels les projets sont exposés, selon différents scénarios climatiques.</w:t>
      </w:r>
    </w:p>
    <w:p w14:paraId="15428ABD" w14:textId="35B5F2D2" w:rsidR="00661A24" w:rsidRPr="00E1394B"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t xml:space="preserve">Une attention particulière sera également donnée à l’inscription du projet </w:t>
      </w:r>
      <w:r w:rsidR="009B1927">
        <w:rPr>
          <w:rFonts w:ascii="Marianne" w:hAnsi="Marianne"/>
          <w:sz w:val="22"/>
          <w:szCs w:val="22"/>
        </w:rPr>
        <w:t xml:space="preserve">en faveur de la sobriété en eau et en énergie, </w:t>
      </w:r>
      <w:r w:rsidRPr="00E1394B">
        <w:rPr>
          <w:rFonts w:ascii="Marianne" w:hAnsi="Marianne"/>
          <w:sz w:val="22"/>
          <w:szCs w:val="22"/>
        </w:rPr>
        <w:t xml:space="preserve">de solutions fondées sur la nature, </w:t>
      </w:r>
      <w:r w:rsidR="009B1927">
        <w:rPr>
          <w:rFonts w:ascii="Marianne" w:hAnsi="Marianne"/>
          <w:sz w:val="22"/>
          <w:szCs w:val="22"/>
        </w:rPr>
        <w:t>de participation à la constitution de « biens communs » a</w:t>
      </w:r>
      <w:r w:rsidRPr="00E1394B">
        <w:rPr>
          <w:rFonts w:ascii="Marianne" w:hAnsi="Marianne"/>
          <w:sz w:val="22"/>
          <w:szCs w:val="22"/>
        </w:rPr>
        <w:t xml:space="preserve">insi que d’économie circulaire. </w:t>
      </w:r>
    </w:p>
    <w:p w14:paraId="34D12CA2" w14:textId="412CDB16" w:rsidR="00661A24" w:rsidRPr="00E1394B"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lastRenderedPageBreak/>
        <w:t>En outre, les projets colla</w:t>
      </w:r>
      <w:r w:rsidR="009B1927">
        <w:rPr>
          <w:rFonts w:ascii="Marianne" w:hAnsi="Marianne"/>
          <w:sz w:val="22"/>
          <w:szCs w:val="22"/>
        </w:rPr>
        <w:t>boratifs et pluridisciplinaires</w:t>
      </w:r>
      <w:r w:rsidRPr="00E1394B">
        <w:rPr>
          <w:rFonts w:ascii="Marianne" w:hAnsi="Marianne"/>
          <w:sz w:val="22"/>
          <w:szCs w:val="22"/>
        </w:rPr>
        <w:t xml:space="preserve"> associant notamment des entreprises, des organismes de recherche publics, et, le cas échéant, des collectivités locales, </w:t>
      </w:r>
      <w:r w:rsidR="003166B1">
        <w:rPr>
          <w:rFonts w:ascii="Marianne" w:hAnsi="Marianne"/>
          <w:sz w:val="22"/>
          <w:szCs w:val="22"/>
        </w:rPr>
        <w:t xml:space="preserve">et des associations </w:t>
      </w:r>
      <w:r w:rsidRPr="00E1394B">
        <w:rPr>
          <w:rFonts w:ascii="Marianne" w:hAnsi="Marianne"/>
          <w:sz w:val="22"/>
          <w:szCs w:val="22"/>
        </w:rPr>
        <w:t xml:space="preserve">sont particulièrement attendus. </w:t>
      </w:r>
    </w:p>
    <w:p w14:paraId="324CB8CC" w14:textId="749A9D3E" w:rsidR="00661A24" w:rsidRPr="009B1927" w:rsidRDefault="00AD6DC1" w:rsidP="009B1927">
      <w:pPr>
        <w:pStyle w:val="Normal11"/>
        <w:spacing w:before="240" w:after="480" w:line="276" w:lineRule="auto"/>
        <w:jc w:val="both"/>
        <w:rPr>
          <w:rFonts w:ascii="Marianne" w:hAnsi="Marianne"/>
          <w:sz w:val="22"/>
          <w:szCs w:val="22"/>
        </w:rPr>
      </w:pPr>
      <w:r w:rsidRPr="00E1394B">
        <w:rPr>
          <w:rFonts w:ascii="Marianne" w:hAnsi="Marianne"/>
          <w:sz w:val="22"/>
          <w:szCs w:val="22"/>
        </w:rPr>
        <w:t xml:space="preserve">Les </w:t>
      </w:r>
      <w:r w:rsidR="009B1927">
        <w:rPr>
          <w:rFonts w:ascii="Marianne" w:hAnsi="Marianne"/>
          <w:sz w:val="22"/>
          <w:szCs w:val="22"/>
        </w:rPr>
        <w:t>établissements publics</w:t>
      </w:r>
      <w:r w:rsidRPr="00E1394B">
        <w:rPr>
          <w:rFonts w:ascii="Marianne" w:hAnsi="Marianne"/>
          <w:sz w:val="22"/>
          <w:szCs w:val="22"/>
        </w:rPr>
        <w:t>, agences de l'eau et organismes publics se voyant déléguer des m</w:t>
      </w:r>
      <w:r w:rsidR="009B1927">
        <w:rPr>
          <w:rFonts w:ascii="Marianne" w:hAnsi="Marianne"/>
          <w:sz w:val="22"/>
          <w:szCs w:val="22"/>
        </w:rPr>
        <w:t>issions de l'Etat bénéficiant d’un</w:t>
      </w:r>
      <w:r w:rsidRPr="00E1394B">
        <w:rPr>
          <w:rFonts w:ascii="Marianne" w:hAnsi="Marianne"/>
          <w:sz w:val="22"/>
          <w:szCs w:val="22"/>
        </w:rPr>
        <w:t xml:space="preserve"> budget propre pour ces missions de service public pourront parti</w:t>
      </w:r>
      <w:r w:rsidR="009B1927">
        <w:rPr>
          <w:rFonts w:ascii="Marianne" w:hAnsi="Marianne"/>
          <w:sz w:val="22"/>
          <w:szCs w:val="22"/>
        </w:rPr>
        <w:t>ciper aux consortiums ou apparaî</w:t>
      </w:r>
      <w:r w:rsidRPr="00E1394B">
        <w:rPr>
          <w:rFonts w:ascii="Marianne" w:hAnsi="Marianne"/>
          <w:sz w:val="22"/>
          <w:szCs w:val="22"/>
        </w:rPr>
        <w:t>tre comme sous-traitants des projets déposés. Dans ce cas</w:t>
      </w:r>
      <w:r w:rsidR="009B1927">
        <w:rPr>
          <w:rFonts w:ascii="Marianne" w:hAnsi="Marianne"/>
          <w:sz w:val="22"/>
          <w:szCs w:val="22"/>
        </w:rPr>
        <w:t>,</w:t>
      </w:r>
      <w:r w:rsidRPr="00E1394B">
        <w:rPr>
          <w:rFonts w:ascii="Marianne" w:hAnsi="Marianne"/>
          <w:sz w:val="22"/>
          <w:szCs w:val="22"/>
        </w:rPr>
        <w:t xml:space="preserve"> l’éligibilité des dépenses sera analysée dans le cadre de l’instruction. </w:t>
      </w:r>
    </w:p>
    <w:p w14:paraId="445A2873" w14:textId="77777777" w:rsidR="00661A24" w:rsidRDefault="00AD6DC1">
      <w:pPr>
        <w:keepNext/>
        <w:keepLines/>
        <w:numPr>
          <w:ilvl w:val="1"/>
          <w:numId w:val="2"/>
        </w:numPr>
        <w:spacing w:before="280" w:after="240"/>
        <w:jc w:val="left"/>
        <w:outlineLvl w:val="1"/>
        <w:rPr>
          <w:rFonts w:ascii="Marianne" w:hAnsi="Marianne"/>
          <w:b/>
          <w:bCs/>
          <w:color w:val="000000"/>
        </w:rPr>
      </w:pPr>
      <w:bookmarkStart w:id="32" w:name="_Toc140092161"/>
      <w:r>
        <w:rPr>
          <w:rFonts w:ascii="Marianne" w:hAnsi="Marianne"/>
          <w:b/>
          <w:bCs/>
          <w:color w:val="000000"/>
        </w:rPr>
        <w:t>Priorités thématiques</w:t>
      </w:r>
      <w:bookmarkEnd w:id="32"/>
      <w:r>
        <w:rPr>
          <w:rFonts w:ascii="Calibri" w:hAnsi="Calibri" w:cs="Calibri"/>
          <w:b/>
          <w:bCs/>
          <w:color w:val="000000"/>
        </w:rPr>
        <w:t> </w:t>
      </w:r>
    </w:p>
    <w:p w14:paraId="7F397FCA" w14:textId="0E536343" w:rsidR="00661A24" w:rsidRPr="009B1927" w:rsidRDefault="00AD6DC1" w:rsidP="009B1927">
      <w:pPr>
        <w:pStyle w:val="Normal11"/>
        <w:spacing w:before="240" w:after="480" w:line="276" w:lineRule="auto"/>
        <w:jc w:val="both"/>
        <w:rPr>
          <w:rFonts w:ascii="Marianne" w:hAnsi="Marianne"/>
          <w:sz w:val="22"/>
          <w:szCs w:val="22"/>
        </w:rPr>
      </w:pPr>
      <w:r w:rsidRPr="00E1394B">
        <w:rPr>
          <w:rFonts w:ascii="Marianne" w:hAnsi="Marianne"/>
          <w:sz w:val="22"/>
          <w:szCs w:val="22"/>
        </w:rPr>
        <w:t>Dans ce contexte, cet appel à projet</w:t>
      </w:r>
      <w:r w:rsidR="009B1927">
        <w:rPr>
          <w:rFonts w:ascii="Marianne" w:hAnsi="Marianne"/>
          <w:sz w:val="22"/>
          <w:szCs w:val="22"/>
        </w:rPr>
        <w:t>s</w:t>
      </w:r>
      <w:r w:rsidRPr="00E1394B">
        <w:rPr>
          <w:rFonts w:ascii="Marianne" w:hAnsi="Marianne"/>
          <w:sz w:val="22"/>
          <w:szCs w:val="22"/>
        </w:rPr>
        <w:t xml:space="preserve"> ambitionne d’anticiper la transition hydrique en intégrant l’</w:t>
      </w:r>
      <w:r w:rsidR="009B1927">
        <w:rPr>
          <w:rFonts w:ascii="Marianne" w:hAnsi="Marianne"/>
          <w:sz w:val="22"/>
          <w:szCs w:val="22"/>
        </w:rPr>
        <w:t>enjeu « eau » dans France 2030. I</w:t>
      </w:r>
      <w:r w:rsidRPr="00E1394B">
        <w:rPr>
          <w:rFonts w:ascii="Marianne" w:hAnsi="Marianne"/>
          <w:sz w:val="22"/>
          <w:szCs w:val="22"/>
        </w:rPr>
        <w:t xml:space="preserve">l </w:t>
      </w:r>
      <w:r w:rsidR="009B1927">
        <w:rPr>
          <w:rFonts w:ascii="Marianne" w:hAnsi="Marianne"/>
          <w:sz w:val="22"/>
          <w:szCs w:val="22"/>
        </w:rPr>
        <w:t xml:space="preserve">visa </w:t>
      </w:r>
      <w:r w:rsidRPr="00E1394B">
        <w:rPr>
          <w:rFonts w:ascii="Marianne" w:hAnsi="Marianne"/>
          <w:sz w:val="22"/>
          <w:szCs w:val="22"/>
        </w:rPr>
        <w:t xml:space="preserve">à soutenir l’innovation en France </w:t>
      </w:r>
      <w:r w:rsidR="009B1927">
        <w:rPr>
          <w:rFonts w:ascii="Marianne" w:hAnsi="Marianne"/>
          <w:sz w:val="22"/>
          <w:szCs w:val="22"/>
        </w:rPr>
        <w:t>selon</w:t>
      </w:r>
      <w:r w:rsidRPr="00E1394B">
        <w:rPr>
          <w:rFonts w:ascii="Marianne" w:hAnsi="Marianne"/>
          <w:sz w:val="22"/>
          <w:szCs w:val="22"/>
        </w:rPr>
        <w:t xml:space="preserve"> les axes suivants :</w:t>
      </w:r>
      <w:bookmarkStart w:id="33" w:name="_Toc137484973"/>
    </w:p>
    <w:bookmarkEnd w:id="33"/>
    <w:p w14:paraId="5BE86CEE" w14:textId="77777777" w:rsidR="00661A24" w:rsidRDefault="00AD6DC1">
      <w:pPr>
        <w:pStyle w:val="Paragraphedeliste"/>
        <w:numPr>
          <w:ilvl w:val="0"/>
          <w:numId w:val="20"/>
        </w:numPr>
        <w:spacing w:after="160" w:line="259" w:lineRule="auto"/>
        <w:rPr>
          <w:rFonts w:ascii="Marianne" w:hAnsi="Marianne"/>
          <w:color w:val="FF0000"/>
        </w:rPr>
      </w:pPr>
      <w:r>
        <w:rPr>
          <w:rFonts w:ascii="Marianne" w:hAnsi="Marianne"/>
          <w:b/>
          <w:bCs/>
        </w:rPr>
        <w:t>Agir en amont sur la gestion de la ressource naturelle dans un contexte de changement climatique</w:t>
      </w:r>
      <w:r>
        <w:rPr>
          <w:rFonts w:ascii="Marianne" w:hAnsi="Marianne"/>
        </w:rPr>
        <w:t xml:space="preserve">, par exemple en déployant des solutions basées sur la sobriété et sur la nature ou en développant des solutions de gestion des eaux pluviales à la source. </w:t>
      </w:r>
    </w:p>
    <w:p w14:paraId="7EA7CCBC" w14:textId="5D61A429" w:rsidR="00661A24" w:rsidRDefault="00AD6DC1">
      <w:pPr>
        <w:pStyle w:val="Corpsdetexte"/>
        <w:numPr>
          <w:ilvl w:val="0"/>
          <w:numId w:val="20"/>
        </w:numPr>
        <w:rPr>
          <w:rFonts w:eastAsia="Arial" w:cs="Arial"/>
          <w:sz w:val="22"/>
          <w:lang w:eastAsia="fr-FR"/>
        </w:rPr>
      </w:pPr>
      <w:r>
        <w:rPr>
          <w:rFonts w:eastAsia="Arial" w:cs="Arial"/>
          <w:b/>
          <w:bCs/>
          <w:sz w:val="22"/>
          <w:lang w:eastAsia="fr-FR"/>
        </w:rPr>
        <w:t>Economiser la ressource : sécuriser l’acheminement en limitant efficacement les pertes hydriques et agir sur les usages de l’eau</w:t>
      </w:r>
      <w:r>
        <w:rPr>
          <w:rFonts w:eastAsia="Arial" w:cs="Arial"/>
          <w:sz w:val="22"/>
          <w:lang w:eastAsia="fr-FR"/>
        </w:rPr>
        <w:t xml:space="preserve">, notamment en promouvant des solutions pour une meilleure gestion et maintenance des réseaux d’eau, ou en soutenant les nouveaux outils favorisant la sobriété et conçus pour une gestion optimisée de la ressource chez les particuliers, dans l’industrie et dans l’agriculture (réutilisation des eaux usées traitées, changement de </w:t>
      </w:r>
      <w:r w:rsidR="00F40353">
        <w:rPr>
          <w:rFonts w:eastAsia="Arial" w:cs="Arial"/>
          <w:sz w:val="22"/>
          <w:lang w:eastAsia="fr-FR"/>
        </w:rPr>
        <w:t>procédés</w:t>
      </w:r>
      <w:r>
        <w:rPr>
          <w:rFonts w:eastAsia="Arial" w:cs="Arial"/>
          <w:sz w:val="22"/>
          <w:lang w:eastAsia="fr-FR"/>
        </w:rPr>
        <w:t xml:space="preserve"> etc.). </w:t>
      </w:r>
    </w:p>
    <w:p w14:paraId="0666462E" w14:textId="691473F5" w:rsidR="00661A24" w:rsidRDefault="00AD6DC1">
      <w:pPr>
        <w:pStyle w:val="Paragraphedeliste"/>
        <w:numPr>
          <w:ilvl w:val="0"/>
          <w:numId w:val="20"/>
        </w:numPr>
        <w:rPr>
          <w:rFonts w:ascii="Marianne" w:hAnsi="Marianne"/>
          <w:b/>
        </w:rPr>
      </w:pPr>
      <w:r>
        <w:rPr>
          <w:rFonts w:ascii="Marianne" w:hAnsi="Marianne"/>
          <w:b/>
          <w:bCs/>
        </w:rPr>
        <w:t>Renforcer le traitement pour améliorer durablement la qualité de l’eau et des milieux</w:t>
      </w:r>
      <w:r>
        <w:rPr>
          <w:rFonts w:ascii="Marianne" w:hAnsi="Marianne"/>
        </w:rPr>
        <w:t xml:space="preserve">, notamment en innovant dans les procédés de traitement des eaux usées domestiques et industrielles, en innovant dans la </w:t>
      </w:r>
      <w:proofErr w:type="spellStart"/>
      <w:r>
        <w:rPr>
          <w:rFonts w:ascii="Marianne" w:hAnsi="Marianne"/>
        </w:rPr>
        <w:t>phytoépuration</w:t>
      </w:r>
      <w:proofErr w:type="spellEnd"/>
      <w:r>
        <w:rPr>
          <w:rFonts w:ascii="Marianne" w:hAnsi="Marianne"/>
        </w:rPr>
        <w:t xml:space="preserve"> et les</w:t>
      </w:r>
      <w:r w:rsidR="00F40353">
        <w:rPr>
          <w:rFonts w:ascii="Marianne" w:hAnsi="Marianne"/>
        </w:rPr>
        <w:t xml:space="preserve"> solutions dites de « remédiation ».</w:t>
      </w:r>
      <w:r>
        <w:rPr>
          <w:rFonts w:ascii="Marianne" w:hAnsi="Marianne"/>
        </w:rPr>
        <w:t xml:space="preserve"> </w:t>
      </w:r>
    </w:p>
    <w:p w14:paraId="1C9F0C2F" w14:textId="77777777" w:rsidR="00661A24" w:rsidRDefault="00661A24">
      <w:pPr>
        <w:pStyle w:val="Paragraphedeliste"/>
        <w:rPr>
          <w:rFonts w:ascii="Marianne" w:hAnsi="Marianne"/>
          <w:b/>
        </w:rPr>
      </w:pPr>
    </w:p>
    <w:p w14:paraId="1CA326C4" w14:textId="1DBF99ED" w:rsidR="00661A24" w:rsidRDefault="00AD6DC1">
      <w:pPr>
        <w:pStyle w:val="Paragraphedeliste"/>
        <w:numPr>
          <w:ilvl w:val="0"/>
          <w:numId w:val="20"/>
        </w:numPr>
        <w:rPr>
          <w:rFonts w:ascii="Marianne" w:hAnsi="Marianne" w:cstheme="minorBidi"/>
          <w:lang w:eastAsia="zh-CN"/>
        </w:rPr>
      </w:pPr>
      <w:r>
        <w:rPr>
          <w:rFonts w:ascii="Marianne" w:hAnsi="Marianne"/>
          <w:b/>
          <w:bCs/>
        </w:rPr>
        <w:t>Développer le numérique et la donnée</w:t>
      </w:r>
      <w:r>
        <w:rPr>
          <w:rFonts w:ascii="Marianne" w:hAnsi="Marianne"/>
        </w:rPr>
        <w:t xml:space="preserve"> au servic</w:t>
      </w:r>
      <w:r w:rsidR="00F40353">
        <w:rPr>
          <w:rFonts w:ascii="Marianne" w:hAnsi="Marianne"/>
        </w:rPr>
        <w:t>e de la gestion de la ressource. Sont notamment ciblés des</w:t>
      </w:r>
      <w:r>
        <w:rPr>
          <w:rFonts w:ascii="Marianne" w:hAnsi="Marianne"/>
        </w:rPr>
        <w:t xml:space="preserve"> </w:t>
      </w:r>
      <w:r>
        <w:rPr>
          <w:rFonts w:ascii="Marianne" w:hAnsi="Marianne" w:cstheme="minorBidi"/>
          <w:lang w:eastAsia="zh-CN"/>
        </w:rPr>
        <w:t xml:space="preserve">projets permettant l’acquisition, la compilation et l’analyse de données pour piloter la gestion des volumes et de la qualité de la ressource, le développement de suivi et </w:t>
      </w:r>
      <w:r w:rsidR="00F40353">
        <w:rPr>
          <w:rFonts w:ascii="Marianne" w:hAnsi="Marianne" w:cstheme="minorBidi"/>
          <w:lang w:eastAsia="zh-CN"/>
        </w:rPr>
        <w:t xml:space="preserve">de </w:t>
      </w:r>
      <w:r>
        <w:rPr>
          <w:rFonts w:ascii="Marianne" w:hAnsi="Marianne" w:cstheme="minorBidi"/>
          <w:lang w:eastAsia="zh-CN"/>
        </w:rPr>
        <w:t xml:space="preserve">pilotage des consommations d'eau, d’outils d’aide à la décision. </w:t>
      </w:r>
    </w:p>
    <w:p w14:paraId="3A12EFD1" w14:textId="77777777" w:rsidR="00661A24" w:rsidRDefault="00661A24">
      <w:pPr>
        <w:rPr>
          <w:rFonts w:ascii="Marianne" w:hAnsi="Marianne"/>
        </w:rPr>
      </w:pPr>
    </w:p>
    <w:p w14:paraId="69E8F967" w14:textId="1341C104" w:rsidR="00F40353"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t>Il est possible de répondre soit à l’une de ces priorités thématiques, soit à plusieurs de ces priorités dans un même projet.</w:t>
      </w:r>
    </w:p>
    <w:p w14:paraId="29B4D7F6"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lastRenderedPageBreak/>
        <w:t>THEME 1 - Agir sur la gestion de la ressource naturelle pour adapter nos systèmes au changement climatique</w:t>
      </w:r>
    </w:p>
    <w:p w14:paraId="19CDAF4B" w14:textId="77777777" w:rsidR="00661A24" w:rsidRDefault="00661A24">
      <w:pPr>
        <w:pStyle w:val="Paragraphedeliste"/>
        <w:rPr>
          <w:rFonts w:ascii="Marianne" w:hAnsi="Marianne" w:cstheme="minorBidi"/>
          <w:lang w:eastAsia="zh-CN"/>
        </w:rPr>
      </w:pPr>
    </w:p>
    <w:p w14:paraId="02CA8932" w14:textId="77777777" w:rsidR="00661A24" w:rsidRDefault="00AD6DC1">
      <w:pPr>
        <w:pStyle w:val="Corpsdetexte"/>
        <w:spacing w:before="182"/>
        <w:rPr>
          <w:b/>
          <w:sz w:val="22"/>
          <w:lang w:eastAsia="zh-CN"/>
        </w:rPr>
      </w:pPr>
      <w:r>
        <w:rPr>
          <w:b/>
          <w:sz w:val="22"/>
          <w:lang w:eastAsia="zh-CN"/>
        </w:rPr>
        <w:t>Sont attendus les types de projets suivants</w:t>
      </w:r>
      <w:r>
        <w:rPr>
          <w:rFonts w:ascii="Calibri" w:hAnsi="Calibri" w:cs="Calibri"/>
          <w:b/>
          <w:sz w:val="22"/>
          <w:lang w:eastAsia="zh-CN"/>
        </w:rPr>
        <w:t> </w:t>
      </w:r>
      <w:r>
        <w:rPr>
          <w:b/>
          <w:sz w:val="22"/>
          <w:lang w:eastAsia="zh-CN"/>
        </w:rPr>
        <w:t xml:space="preserve">: </w:t>
      </w:r>
    </w:p>
    <w:p w14:paraId="2EFDF870" w14:textId="4E0B4556" w:rsidR="00661A24" w:rsidRPr="005537D1" w:rsidRDefault="00AD6DC1">
      <w:pPr>
        <w:pStyle w:val="Corpsdetexte"/>
        <w:numPr>
          <w:ilvl w:val="0"/>
          <w:numId w:val="17"/>
        </w:numPr>
        <w:spacing w:before="182"/>
        <w:rPr>
          <w:rFonts w:eastAsia="Arial" w:cstheme="minorBidi"/>
          <w:sz w:val="22"/>
          <w:lang w:eastAsia="zh-CN"/>
        </w:rPr>
      </w:pPr>
      <w:r>
        <w:rPr>
          <w:rFonts w:eastAsia="Arial" w:cstheme="minorBidi"/>
          <w:sz w:val="22"/>
          <w:lang w:eastAsia="zh-CN"/>
        </w:rPr>
        <w:t xml:space="preserve">Projets </w:t>
      </w:r>
      <w:r w:rsidRPr="005537D1">
        <w:rPr>
          <w:rFonts w:eastAsia="Arial" w:cstheme="minorBidi"/>
          <w:sz w:val="22"/>
          <w:lang w:eastAsia="zh-CN"/>
        </w:rPr>
        <w:t>d’innovation promouvant l’infiltration naturelle pour les sols urbains mais également dans les modes de gestion des sols naturels, forestiers ou agricoles, proposant des innovations dans les manières d’aménager et dans le développement de techniques d’infiltration à la source des eaux pluviales réfléchies pour imaginer les villes de demain</w:t>
      </w:r>
      <w:r w:rsidR="005537D1">
        <w:rPr>
          <w:rFonts w:eastAsia="Arial" w:cstheme="minorBidi"/>
          <w:sz w:val="22"/>
          <w:lang w:eastAsia="zh-CN"/>
        </w:rPr>
        <w:t>.</w:t>
      </w:r>
    </w:p>
    <w:p w14:paraId="6030C026" w14:textId="6321C0EC" w:rsidR="00661A24" w:rsidRDefault="00AD6DC1">
      <w:pPr>
        <w:pStyle w:val="Corpsdetexte"/>
        <w:numPr>
          <w:ilvl w:val="0"/>
          <w:numId w:val="17"/>
        </w:numPr>
        <w:spacing w:before="182"/>
        <w:rPr>
          <w:rFonts w:eastAsia="Arial" w:cstheme="minorBidi"/>
          <w:sz w:val="22"/>
          <w:lang w:eastAsia="zh-CN"/>
        </w:rPr>
      </w:pPr>
      <w:r>
        <w:rPr>
          <w:rFonts w:eastAsia="Arial" w:cstheme="minorBidi"/>
          <w:sz w:val="22"/>
          <w:lang w:eastAsia="zh-CN"/>
        </w:rPr>
        <w:t>Trava</w:t>
      </w:r>
      <w:r w:rsidR="003D1406">
        <w:rPr>
          <w:rFonts w:eastAsia="Arial" w:cstheme="minorBidi"/>
          <w:sz w:val="22"/>
          <w:lang w:eastAsia="zh-CN"/>
        </w:rPr>
        <w:t>ux de génie civil et écologique</w:t>
      </w:r>
      <w:r>
        <w:rPr>
          <w:rFonts w:eastAsia="Arial" w:cstheme="minorBidi"/>
          <w:sz w:val="22"/>
          <w:lang w:eastAsia="zh-CN"/>
        </w:rPr>
        <w:t>, et solutions techniques permettant une recharge des nappes par diffusion douce</w:t>
      </w:r>
      <w:r w:rsidR="005537D1">
        <w:rPr>
          <w:rFonts w:eastAsia="Arial" w:cstheme="minorBidi"/>
          <w:sz w:val="22"/>
          <w:lang w:eastAsia="zh-CN"/>
        </w:rPr>
        <w:t>.</w:t>
      </w:r>
    </w:p>
    <w:p w14:paraId="49484C05" w14:textId="444B266B" w:rsidR="00661A24" w:rsidRDefault="00AD6DC1">
      <w:pPr>
        <w:pStyle w:val="Corpsdetexte"/>
        <w:numPr>
          <w:ilvl w:val="0"/>
          <w:numId w:val="17"/>
        </w:numPr>
        <w:rPr>
          <w:sz w:val="22"/>
          <w:lang w:eastAsia="zh-CN"/>
        </w:rPr>
      </w:pPr>
      <w:r>
        <w:rPr>
          <w:sz w:val="22"/>
        </w:rPr>
        <w:t xml:space="preserve">Projets permettant </w:t>
      </w:r>
      <w:r w:rsidR="003D1406">
        <w:rPr>
          <w:sz w:val="22"/>
        </w:rPr>
        <w:t>une</w:t>
      </w:r>
      <w:r>
        <w:rPr>
          <w:sz w:val="22"/>
        </w:rPr>
        <w:t xml:space="preserve"> meilleure identification et protection des zones humides face aux </w:t>
      </w:r>
      <w:r>
        <w:rPr>
          <w:sz w:val="22"/>
          <w:lang w:eastAsia="zh-CN"/>
        </w:rPr>
        <w:t>pollutions, artificialisation des sols, assèchement, fragmentation des habitats, surexploitation, déprise de l’élevage et de la pisciculture, manque d’entretien, changement climatique</w:t>
      </w:r>
      <w:r>
        <w:rPr>
          <w:sz w:val="22"/>
        </w:rPr>
        <w:t xml:space="preserve"> pour </w:t>
      </w:r>
      <w:r>
        <w:rPr>
          <w:sz w:val="22"/>
          <w:lang w:eastAsia="zh-CN"/>
        </w:rPr>
        <w:t xml:space="preserve">la préservation du cycle de l’eau et </w:t>
      </w:r>
      <w:r w:rsidR="003D1406">
        <w:rPr>
          <w:sz w:val="22"/>
          <w:lang w:eastAsia="zh-CN"/>
        </w:rPr>
        <w:t xml:space="preserve">la </w:t>
      </w:r>
      <w:r>
        <w:rPr>
          <w:sz w:val="22"/>
          <w:lang w:eastAsia="zh-CN"/>
        </w:rPr>
        <w:t>sécurisation de la qualité des eaux. En particulier, les projets permettant la cartographie des zones humides seron</w:t>
      </w:r>
      <w:r w:rsidR="003D1406">
        <w:rPr>
          <w:sz w:val="22"/>
          <w:lang w:eastAsia="zh-CN"/>
        </w:rPr>
        <w:t>t considérés comme prioritaires.</w:t>
      </w:r>
    </w:p>
    <w:p w14:paraId="27496D39" w14:textId="77777777" w:rsidR="003D1406" w:rsidRDefault="00AD6DC1" w:rsidP="003D1406">
      <w:pPr>
        <w:pStyle w:val="Corpsdetexte"/>
        <w:numPr>
          <w:ilvl w:val="0"/>
          <w:numId w:val="17"/>
        </w:numPr>
        <w:spacing w:before="182"/>
        <w:rPr>
          <w:rFonts w:eastAsia="Arial" w:cstheme="minorBidi"/>
          <w:sz w:val="22"/>
          <w:lang w:eastAsia="zh-CN"/>
        </w:rPr>
      </w:pPr>
      <w:r>
        <w:rPr>
          <w:rFonts w:eastAsia="Arial" w:cstheme="minorBidi"/>
          <w:sz w:val="22"/>
          <w:lang w:eastAsia="zh-CN"/>
        </w:rPr>
        <w:t xml:space="preserve">Projets sur le stockage des eaux de manière pilotée, notamment en </w:t>
      </w:r>
      <w:r>
        <w:rPr>
          <w:sz w:val="22"/>
        </w:rPr>
        <w:t xml:space="preserve">améliorant le suivi en temps réel des volumes d’eau disponibles, de l’état des masses d’eau sous stress hydrique critique et de la consommation majoritaire qui en est faite en période estivale. </w:t>
      </w:r>
    </w:p>
    <w:p w14:paraId="0FEBD3E2" w14:textId="54237A47" w:rsidR="00661A24" w:rsidRPr="003D1406" w:rsidRDefault="003D1406" w:rsidP="003D1406">
      <w:pPr>
        <w:pStyle w:val="Corpsdetexte"/>
        <w:numPr>
          <w:ilvl w:val="0"/>
          <w:numId w:val="17"/>
        </w:numPr>
        <w:spacing w:before="182"/>
        <w:rPr>
          <w:rFonts w:eastAsia="Arial" w:cstheme="minorBidi"/>
          <w:sz w:val="22"/>
          <w:lang w:eastAsia="zh-CN"/>
        </w:rPr>
      </w:pPr>
      <w:r>
        <w:rPr>
          <w:rFonts w:eastAsia="Arial" w:cstheme="minorBidi"/>
          <w:sz w:val="22"/>
          <w:lang w:eastAsia="zh-CN"/>
        </w:rPr>
        <w:t>P</w:t>
      </w:r>
      <w:r w:rsidR="00AD6DC1" w:rsidRPr="003D1406">
        <w:rPr>
          <w:rFonts w:eastAsia="Arial" w:cstheme="minorBidi"/>
          <w:sz w:val="22"/>
          <w:lang w:eastAsia="zh-CN"/>
        </w:rPr>
        <w:t>rojets de développement de technologies visant l’amélioration de l’empreinte environnementale du dessalement de l’eau</w:t>
      </w:r>
      <w:r>
        <w:rPr>
          <w:rFonts w:eastAsia="Arial" w:cstheme="minorBidi"/>
          <w:sz w:val="22"/>
          <w:lang w:eastAsia="zh-CN"/>
        </w:rPr>
        <w:t>.</w:t>
      </w:r>
    </w:p>
    <w:p w14:paraId="652C2EFC" w14:textId="77777777" w:rsidR="00661A24" w:rsidRDefault="00661A24">
      <w:pPr>
        <w:pStyle w:val="Corpsdetexte"/>
        <w:spacing w:before="182"/>
        <w:ind w:left="360"/>
        <w:rPr>
          <w:rFonts w:eastAsia="Arial" w:cstheme="minorBidi"/>
          <w:sz w:val="22"/>
          <w:lang w:eastAsia="zh-CN"/>
        </w:rPr>
      </w:pPr>
    </w:p>
    <w:p w14:paraId="6B1367FD"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t>THEME 2 – Economiser la ressource</w:t>
      </w:r>
      <w:r>
        <w:rPr>
          <w:rFonts w:ascii="Calibri" w:hAnsi="Calibri" w:cs="Calibri"/>
          <w:smallCaps/>
          <w:color w:val="000000"/>
          <w:sz w:val="22"/>
          <w:szCs w:val="22"/>
        </w:rPr>
        <w:t> </w:t>
      </w:r>
      <w:r>
        <w:rPr>
          <w:rFonts w:ascii="Marianne" w:hAnsi="Marianne" w:cs="Arial"/>
          <w:smallCaps/>
          <w:color w:val="000000"/>
          <w:sz w:val="22"/>
          <w:szCs w:val="22"/>
        </w:rPr>
        <w:t>: sécuriser l’acheminement et agir sur les usages de l’eau y compris en termes de sobriété et de recyclage</w:t>
      </w:r>
    </w:p>
    <w:p w14:paraId="62894B12" w14:textId="77777777" w:rsidR="00661A24" w:rsidRDefault="00661A24">
      <w:pPr>
        <w:rPr>
          <w:rFonts w:ascii="Marianne" w:hAnsi="Marianne"/>
        </w:rPr>
      </w:pPr>
    </w:p>
    <w:p w14:paraId="4811DC9D" w14:textId="77777777" w:rsidR="00661A24" w:rsidRDefault="00AD6DC1">
      <w:pPr>
        <w:spacing w:after="160" w:line="259" w:lineRule="auto"/>
        <w:jc w:val="left"/>
        <w:rPr>
          <w:rFonts w:ascii="Marianne" w:eastAsia="Arial MT" w:hAnsi="Marianne" w:cs="Arial MT"/>
          <w:b/>
          <w:lang w:eastAsia="zh-CN"/>
        </w:rPr>
      </w:pPr>
      <w:r>
        <w:rPr>
          <w:rFonts w:ascii="Marianne" w:eastAsia="Arial MT" w:hAnsi="Marianne" w:cs="Arial MT"/>
          <w:b/>
          <w:lang w:eastAsia="zh-CN"/>
        </w:rPr>
        <w:t>Concernant l’acheminement de l’eau, sont attendus les types de projets suivants</w:t>
      </w:r>
      <w:r>
        <w:rPr>
          <w:rFonts w:ascii="Calibri" w:eastAsia="Arial MT" w:hAnsi="Calibri" w:cs="Calibri"/>
          <w:b/>
          <w:lang w:eastAsia="zh-CN"/>
        </w:rPr>
        <w:t> </w:t>
      </w:r>
      <w:r>
        <w:rPr>
          <w:rFonts w:ascii="Marianne" w:eastAsia="Arial MT" w:hAnsi="Marianne" w:cs="Arial MT"/>
          <w:b/>
          <w:lang w:eastAsia="zh-CN"/>
        </w:rPr>
        <w:t xml:space="preserve">: </w:t>
      </w:r>
    </w:p>
    <w:p w14:paraId="70493C2A" w14:textId="447CA121" w:rsidR="00661A24" w:rsidRDefault="00AD6DC1">
      <w:pPr>
        <w:pStyle w:val="Corpsdetexte"/>
        <w:numPr>
          <w:ilvl w:val="0"/>
          <w:numId w:val="16"/>
        </w:numPr>
        <w:spacing w:before="182"/>
        <w:rPr>
          <w:rFonts w:eastAsia="Arial" w:cs="Calibri"/>
          <w:sz w:val="22"/>
          <w:lang w:eastAsia="zh-CN"/>
        </w:rPr>
      </w:pPr>
      <w:r>
        <w:rPr>
          <w:rFonts w:eastAsia="Arial" w:cstheme="minorBidi"/>
          <w:sz w:val="22"/>
          <w:lang w:eastAsia="zh-CN"/>
        </w:rPr>
        <w:t>Projets d’innovation proposant l’évolution des matériaux de réseaux pour en assurer une plus grande durabilité et assurant le maintien de la qualité de l’eau</w:t>
      </w:r>
      <w:r w:rsidR="00BD4D23">
        <w:rPr>
          <w:rFonts w:eastAsia="Arial" w:cstheme="minorBidi"/>
          <w:sz w:val="22"/>
          <w:lang w:eastAsia="zh-CN"/>
        </w:rPr>
        <w:t> ;</w:t>
      </w:r>
    </w:p>
    <w:p w14:paraId="4495FBE3" w14:textId="6CE5D620" w:rsidR="00661A24" w:rsidRDefault="00AD6DC1">
      <w:pPr>
        <w:pStyle w:val="Paragraphedeliste"/>
        <w:numPr>
          <w:ilvl w:val="0"/>
          <w:numId w:val="16"/>
        </w:numPr>
        <w:rPr>
          <w:rFonts w:ascii="Marianne" w:hAnsi="Marianne" w:cstheme="minorBidi"/>
          <w:lang w:eastAsia="zh-CN"/>
        </w:rPr>
      </w:pPr>
      <w:r>
        <w:rPr>
          <w:rFonts w:ascii="Marianne" w:hAnsi="Marianne" w:cstheme="minorBidi"/>
          <w:lang w:eastAsia="zh-CN"/>
        </w:rPr>
        <w:t>Projets améliorant la performance du réseau : capteurs de fuites et robots d’intervention dans les canalisations pour limiter efficacement les pertes hydriques, favoriser le chemisage intérieur des canalisations, et faciliter les interventions avant rupture le cas échéant</w:t>
      </w:r>
      <w:r w:rsidR="00BD4D23">
        <w:rPr>
          <w:rFonts w:ascii="Marianne" w:hAnsi="Marianne" w:cstheme="minorBidi"/>
          <w:lang w:eastAsia="zh-CN"/>
        </w:rPr>
        <w:t> ;</w:t>
      </w:r>
    </w:p>
    <w:p w14:paraId="48ED0B35" w14:textId="51A0AB7C" w:rsidR="00661A24" w:rsidRDefault="00AD6DC1">
      <w:pPr>
        <w:pStyle w:val="Corpsdetexte"/>
        <w:numPr>
          <w:ilvl w:val="0"/>
          <w:numId w:val="16"/>
        </w:numPr>
        <w:spacing w:before="182"/>
        <w:rPr>
          <w:rFonts w:eastAsia="Arial" w:cs="Calibri"/>
          <w:sz w:val="22"/>
          <w:lang w:eastAsia="zh-CN"/>
        </w:rPr>
      </w:pPr>
      <w:r>
        <w:rPr>
          <w:rFonts w:eastAsia="Arial" w:cstheme="minorBidi"/>
          <w:sz w:val="22"/>
          <w:lang w:eastAsia="zh-CN"/>
        </w:rPr>
        <w:t>Projets de conception de réseaux intelligents d’acheminement d’eau, reliés à des données issues de la recherche spatiale, à des fins de modernisation des réseaux d’eau</w:t>
      </w:r>
      <w:r w:rsidR="00BD4D23">
        <w:rPr>
          <w:rFonts w:eastAsia="Arial" w:cstheme="minorBidi"/>
          <w:sz w:val="22"/>
          <w:lang w:eastAsia="zh-CN"/>
        </w:rPr>
        <w:t>.</w:t>
      </w:r>
    </w:p>
    <w:p w14:paraId="48D3BEA1" w14:textId="34156D0A" w:rsidR="00661A24" w:rsidRDefault="00661A24">
      <w:pPr>
        <w:rPr>
          <w:rFonts w:ascii="Marianne" w:hAnsi="Marianne"/>
          <w:lang w:eastAsia="zh-CN"/>
        </w:rPr>
      </w:pPr>
    </w:p>
    <w:p w14:paraId="3504DD31" w14:textId="77777777" w:rsidR="005537D1" w:rsidRDefault="005537D1">
      <w:pPr>
        <w:rPr>
          <w:rFonts w:ascii="Marianne" w:hAnsi="Marianne"/>
          <w:lang w:eastAsia="zh-CN"/>
        </w:rPr>
      </w:pPr>
    </w:p>
    <w:p w14:paraId="7E45002D" w14:textId="77777777" w:rsidR="00661A24" w:rsidRDefault="00AD6DC1">
      <w:pPr>
        <w:spacing w:after="160" w:line="259" w:lineRule="auto"/>
        <w:jc w:val="left"/>
        <w:rPr>
          <w:rFonts w:ascii="Marianne" w:eastAsia="Arial MT" w:hAnsi="Marianne" w:cs="Arial MT"/>
          <w:b/>
          <w:lang w:eastAsia="zh-CN"/>
        </w:rPr>
      </w:pPr>
      <w:r>
        <w:rPr>
          <w:rFonts w:ascii="Marianne" w:eastAsia="Arial MT" w:hAnsi="Marianne" w:cs="Arial MT"/>
          <w:b/>
          <w:lang w:eastAsia="zh-CN"/>
        </w:rPr>
        <w:lastRenderedPageBreak/>
        <w:t>Concernant les usages</w:t>
      </w:r>
      <w:r>
        <w:rPr>
          <w:rFonts w:ascii="Calibri" w:eastAsia="Arial MT" w:hAnsi="Calibri" w:cs="Calibri"/>
          <w:b/>
          <w:lang w:eastAsia="zh-CN"/>
        </w:rPr>
        <w:t> </w:t>
      </w:r>
      <w:r>
        <w:rPr>
          <w:rFonts w:ascii="Marianne" w:eastAsia="Arial MT" w:hAnsi="Marianne" w:cs="Arial MT"/>
          <w:b/>
          <w:lang w:eastAsia="zh-CN"/>
        </w:rPr>
        <w:t xml:space="preserve">de l’eau, sont attendus les types de projets suivants : </w:t>
      </w:r>
    </w:p>
    <w:p w14:paraId="3824A872" w14:textId="77777777" w:rsidR="00661A24" w:rsidRDefault="00AD6DC1">
      <w:pPr>
        <w:pStyle w:val="Corpsdetexte"/>
        <w:numPr>
          <w:ilvl w:val="0"/>
          <w:numId w:val="16"/>
        </w:numPr>
        <w:spacing w:before="182"/>
        <w:rPr>
          <w:rFonts w:cstheme="minorBidi"/>
          <w:sz w:val="22"/>
          <w:lang w:eastAsia="zh-CN"/>
        </w:rPr>
      </w:pPr>
      <w:r>
        <w:rPr>
          <w:rFonts w:cstheme="minorBidi"/>
          <w:sz w:val="22"/>
          <w:lang w:eastAsia="zh-CN"/>
        </w:rPr>
        <w:t xml:space="preserve">Projets d’innovation basés sur une démarche de maximisation de la sobriété et de l’efficacité hydrique, comme du matériel industriel économe en eau </w:t>
      </w:r>
    </w:p>
    <w:p w14:paraId="715EFF0B" w14:textId="77777777" w:rsidR="00661A24" w:rsidRDefault="00AD6DC1">
      <w:pPr>
        <w:pStyle w:val="Corpsdetexte"/>
        <w:numPr>
          <w:ilvl w:val="0"/>
          <w:numId w:val="16"/>
        </w:numPr>
        <w:spacing w:before="182"/>
        <w:rPr>
          <w:rFonts w:cstheme="minorBidi"/>
          <w:sz w:val="22"/>
          <w:lang w:eastAsia="zh-CN"/>
        </w:rPr>
      </w:pPr>
      <w:r>
        <w:rPr>
          <w:rFonts w:eastAsia="Arial" w:cstheme="minorBidi"/>
          <w:sz w:val="22"/>
          <w:lang w:eastAsia="zh-CN"/>
        </w:rPr>
        <w:t xml:space="preserve">Projets fondés sur la sobriété et le recyclage de l’eau à l’échelle du bâtiment (douches en circuit fermé, </w:t>
      </w:r>
      <w:r>
        <w:rPr>
          <w:rFonts w:eastAsia="Marianne" w:cs="Marianne"/>
          <w:sz w:val="22"/>
        </w:rPr>
        <w:t>filière « toilettes sèches », collecte séparée des urines…)</w:t>
      </w:r>
    </w:p>
    <w:p w14:paraId="646B3CD5" w14:textId="77777777" w:rsidR="00661A24" w:rsidRDefault="00AD6DC1">
      <w:pPr>
        <w:pStyle w:val="Corpsdetexte"/>
        <w:numPr>
          <w:ilvl w:val="0"/>
          <w:numId w:val="16"/>
        </w:numPr>
        <w:spacing w:before="182"/>
        <w:rPr>
          <w:rFonts w:cstheme="minorBidi"/>
          <w:sz w:val="22"/>
          <w:lang w:eastAsia="zh-CN"/>
        </w:rPr>
      </w:pPr>
      <w:r>
        <w:rPr>
          <w:rFonts w:eastAsia="Arial" w:cstheme="minorBidi"/>
          <w:sz w:val="22"/>
          <w:lang w:eastAsia="zh-CN"/>
        </w:rPr>
        <w:t>Projets d’optimisation de la gestion et de réutilisation de l’eau dans l’industrie (process de nettoyage, recyclage de l’eau dans les installations de lavage automobile...</w:t>
      </w:r>
      <w:r>
        <w:rPr>
          <w:rFonts w:cstheme="minorBidi"/>
          <w:sz w:val="22"/>
          <w:lang w:eastAsia="zh-CN"/>
        </w:rPr>
        <w:t xml:space="preserve">). </w:t>
      </w:r>
    </w:p>
    <w:p w14:paraId="0109B0B1" w14:textId="77777777" w:rsidR="00661A24" w:rsidRDefault="00AD6DC1">
      <w:pPr>
        <w:pStyle w:val="Corpsdetexte"/>
        <w:numPr>
          <w:ilvl w:val="0"/>
          <w:numId w:val="16"/>
        </w:numPr>
        <w:spacing w:before="182"/>
        <w:rPr>
          <w:rFonts w:eastAsia="Arial" w:cstheme="minorBidi"/>
          <w:sz w:val="22"/>
          <w:lang w:eastAsia="zh-CN"/>
        </w:rPr>
      </w:pPr>
      <w:r>
        <w:rPr>
          <w:rFonts w:eastAsia="Arial" w:cstheme="minorBidi"/>
          <w:bCs/>
          <w:sz w:val="22"/>
          <w:lang w:eastAsia="zh-CN"/>
        </w:rPr>
        <w:t>P</w:t>
      </w:r>
      <w:r>
        <w:rPr>
          <w:rFonts w:eastAsia="Arial" w:cstheme="minorBidi"/>
          <w:sz w:val="22"/>
          <w:lang w:eastAsia="zh-CN"/>
        </w:rPr>
        <w:t xml:space="preserve">rojets sur la valorisation des eaux usées des stations d’épuration comme une source de matières premières à recycler et d’énergie verte (par exemple valorisation des ressources telles que l’azote, le phosphore, les métaux, les calories contenues dans les eaux usées et traitées) </w:t>
      </w:r>
    </w:p>
    <w:p w14:paraId="6BCC2CB2" w14:textId="77777777" w:rsidR="00661A24" w:rsidRDefault="00AD6DC1">
      <w:pPr>
        <w:pStyle w:val="Corpsdetexte"/>
        <w:numPr>
          <w:ilvl w:val="0"/>
          <w:numId w:val="16"/>
        </w:numPr>
        <w:spacing w:before="182"/>
        <w:rPr>
          <w:rFonts w:eastAsia="Arial" w:cstheme="minorBidi"/>
          <w:sz w:val="22"/>
          <w:lang w:eastAsia="zh-CN"/>
        </w:rPr>
      </w:pPr>
      <w:r>
        <w:rPr>
          <w:rFonts w:eastAsia="Arial" w:cstheme="minorBidi"/>
          <w:sz w:val="22"/>
          <w:lang w:eastAsia="zh-CN"/>
        </w:rPr>
        <w:t>Projets d’optimisation de la gestion et de stockage de l’eau (notamment des dispositifs de suivi des consommations d'eau et de pilotage à l'échelle de l'exploitation, technologies d’irrigation économe et limitée au strict besoin des plantes en fonction de leur état de développement), et de réutilisation d’eau dans l’agriculture</w:t>
      </w:r>
    </w:p>
    <w:p w14:paraId="12DBA3ED" w14:textId="77777777" w:rsidR="00661A24" w:rsidRDefault="00AD6DC1">
      <w:pPr>
        <w:pStyle w:val="Corpsdetexte"/>
        <w:numPr>
          <w:ilvl w:val="0"/>
          <w:numId w:val="16"/>
        </w:numPr>
        <w:spacing w:before="182"/>
        <w:rPr>
          <w:rFonts w:cstheme="minorBidi"/>
          <w:sz w:val="22"/>
          <w:lang w:eastAsia="zh-CN"/>
        </w:rPr>
      </w:pPr>
      <w:r>
        <w:rPr>
          <w:sz w:val="22"/>
        </w:rPr>
        <w:t xml:space="preserve">Projets d’innovation reliant agroforesterie et économie d'eau, notamment dans la conservation de l'eau dans le sol </w:t>
      </w:r>
    </w:p>
    <w:p w14:paraId="0F2C7279" w14:textId="77777777" w:rsidR="00661A24" w:rsidRDefault="00AD6DC1">
      <w:pPr>
        <w:pStyle w:val="Corpsdetexte"/>
        <w:numPr>
          <w:ilvl w:val="0"/>
          <w:numId w:val="16"/>
        </w:numPr>
        <w:spacing w:before="182"/>
        <w:rPr>
          <w:rFonts w:eastAsia="Arial" w:cstheme="minorBidi"/>
          <w:sz w:val="22"/>
          <w:lang w:eastAsia="zh-CN"/>
        </w:rPr>
      </w:pPr>
      <w:r>
        <w:rPr>
          <w:rFonts w:eastAsia="Arial" w:cstheme="minorBidi"/>
          <w:sz w:val="22"/>
          <w:lang w:eastAsia="zh-CN"/>
        </w:rPr>
        <w:t>Projets visant l’interconnexion entre usagers d’eaux non conventionnelles</w:t>
      </w:r>
      <w:r>
        <w:rPr>
          <w:rFonts w:ascii="Calibri" w:eastAsia="Arial" w:hAnsi="Calibri" w:cs="Calibri"/>
          <w:sz w:val="22"/>
          <w:lang w:eastAsia="zh-CN"/>
        </w:rPr>
        <w:t> </w:t>
      </w:r>
      <w:r>
        <w:rPr>
          <w:rFonts w:eastAsia="Arial" w:cstheme="minorBidi"/>
          <w:sz w:val="22"/>
          <w:lang w:eastAsia="zh-CN"/>
        </w:rPr>
        <w:t xml:space="preserve">: réutilisation en cascade sur une chaîne d’usage adaptée des eaux usées traitée, permettant d’optimiser l’usage de l’eau (notamment dans les secteurs industriels, agricoles et agro-alimentaires), </w:t>
      </w:r>
      <w:r w:rsidRPr="00AD6DC1">
        <w:rPr>
          <w:rFonts w:eastAsia="Arial" w:cstheme="minorBidi"/>
          <w:sz w:val="22"/>
          <w:lang w:eastAsia="zh-CN"/>
        </w:rPr>
        <w:t>le cas échéant, dans un cadre expérimental qui pourrait être ouvert via le guichet France Expérimentation</w:t>
      </w:r>
      <w:r>
        <w:rPr>
          <w:rFonts w:eastAsia="Arial" w:cstheme="minorBidi"/>
          <w:sz w:val="22"/>
          <w:lang w:eastAsia="zh-CN"/>
        </w:rPr>
        <w:t xml:space="preserve">. </w:t>
      </w:r>
    </w:p>
    <w:p w14:paraId="3730485A" w14:textId="77777777" w:rsidR="00661A24" w:rsidRDefault="00AD6DC1">
      <w:pPr>
        <w:pStyle w:val="Corpsdetexte"/>
        <w:spacing w:before="182"/>
        <w:rPr>
          <w:rFonts w:eastAsia="Arial" w:cstheme="minorBidi"/>
          <w:sz w:val="22"/>
          <w:lang w:eastAsia="zh-CN"/>
        </w:rPr>
      </w:pPr>
      <w:r>
        <w:rPr>
          <w:rFonts w:eastAsia="Arial" w:cstheme="minorBidi"/>
          <w:sz w:val="22"/>
          <w:lang w:eastAsia="zh-CN"/>
        </w:rPr>
        <w:t>Plus généralement sont également attendus des projets sur la réutilisation des eaux non-conventionnelles et, notamment les eaux de pluie (études ainsi que des installations pilotes) et les projets de REUT.</w:t>
      </w:r>
    </w:p>
    <w:p w14:paraId="5254679B" w14:textId="77777777" w:rsidR="00661A24" w:rsidRDefault="00661A24">
      <w:pPr>
        <w:pStyle w:val="Corpsdetexte"/>
        <w:spacing w:before="182"/>
        <w:ind w:left="720"/>
        <w:rPr>
          <w:rFonts w:eastAsia="Arial" w:cstheme="minorBidi"/>
          <w:sz w:val="22"/>
          <w:lang w:eastAsia="zh-CN"/>
        </w:rPr>
      </w:pPr>
    </w:p>
    <w:p w14:paraId="0B178705"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t>THEME 3 - Renforcer le traitement pour améliorer durablement la qualité de l’eau et des milieux</w:t>
      </w:r>
    </w:p>
    <w:p w14:paraId="20A378E6" w14:textId="77777777" w:rsidR="00661A24" w:rsidRDefault="00661A24"/>
    <w:p w14:paraId="3A61DE3B" w14:textId="77777777" w:rsidR="00661A24" w:rsidRDefault="00AD6DC1">
      <w:pPr>
        <w:pStyle w:val="Corpsdetexte"/>
        <w:spacing w:before="182"/>
        <w:rPr>
          <w:rFonts w:eastAsia="Arial" w:cstheme="minorBidi"/>
          <w:b/>
          <w:sz w:val="22"/>
          <w:lang w:eastAsia="zh-CN"/>
        </w:rPr>
      </w:pPr>
      <w:r>
        <w:rPr>
          <w:rFonts w:eastAsia="Arial" w:cstheme="minorBidi"/>
          <w:b/>
          <w:sz w:val="22"/>
          <w:lang w:eastAsia="zh-CN"/>
        </w:rPr>
        <w:t>Concernant l’innovation dans les procédés de traitement des eaux, sont attendus les types de projets suivants</w:t>
      </w:r>
      <w:r>
        <w:rPr>
          <w:rFonts w:ascii="Calibri" w:eastAsia="Arial" w:hAnsi="Calibri" w:cs="Calibri"/>
          <w:b/>
          <w:sz w:val="22"/>
          <w:lang w:eastAsia="zh-CN"/>
        </w:rPr>
        <w:t> </w:t>
      </w:r>
      <w:r>
        <w:rPr>
          <w:rFonts w:eastAsia="Arial" w:cstheme="minorBidi"/>
          <w:b/>
          <w:sz w:val="22"/>
          <w:lang w:eastAsia="zh-CN"/>
        </w:rPr>
        <w:t>:</w:t>
      </w:r>
    </w:p>
    <w:p w14:paraId="57974CA2"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Projets innovants de diagnostic, de détection et d’ultra filtration et/ou traitement des micropolluants, comme les résidus médicamenteux ou phytosanitaires, microplastiques et microfibres</w:t>
      </w:r>
      <w:r>
        <w:rPr>
          <w:rFonts w:eastAsia="Arial" w:cs="Calibri"/>
          <w:sz w:val="22"/>
          <w:lang w:eastAsia="zh-CN"/>
        </w:rPr>
        <w:t xml:space="preserve">, </w:t>
      </w:r>
      <w:r>
        <w:rPr>
          <w:rFonts w:eastAsia="Arial" w:cstheme="minorBidi"/>
          <w:sz w:val="22"/>
          <w:lang w:eastAsia="zh-CN"/>
        </w:rPr>
        <w:t>PFAS, agents pathogènes et effluents industriels dans l’eau. Le développement de nouvelles technologies de membranes pourra également faire l’objet de projets dans ce cadre</w:t>
      </w:r>
    </w:p>
    <w:p w14:paraId="6263BC77"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Solutions destinées à se passer de microplastiques dans certaines applications, </w:t>
      </w:r>
      <w:r>
        <w:rPr>
          <w:rFonts w:eastAsia="Arial" w:cstheme="minorBidi"/>
          <w:sz w:val="22"/>
          <w:lang w:eastAsia="zh-CN"/>
        </w:rPr>
        <w:lastRenderedPageBreak/>
        <w:t xml:space="preserve">(comme dans les fertilisants ou les cosmétiques) ou de filtration à la source (systèmes de piégeages des microfibres textiles synthétiques par exemple). </w:t>
      </w:r>
    </w:p>
    <w:p w14:paraId="2742045D" w14:textId="77777777" w:rsidR="00661A24" w:rsidRDefault="00AD6DC1">
      <w:pPr>
        <w:pStyle w:val="Corpsdetexte"/>
        <w:numPr>
          <w:ilvl w:val="0"/>
          <w:numId w:val="18"/>
        </w:numPr>
        <w:spacing w:before="182"/>
        <w:rPr>
          <w:rFonts w:eastAsia="Arial" w:cstheme="minorBidi"/>
          <w:sz w:val="22"/>
          <w:lang w:eastAsia="zh-CN"/>
        </w:rPr>
      </w:pPr>
      <w:r>
        <w:rPr>
          <w:sz w:val="22"/>
          <w:lang w:val="fr-CA"/>
        </w:rPr>
        <w:t>Projets d’innovation permettant de détecter, comprendre et obtenir plus de connaissance sur les «</w:t>
      </w:r>
      <w:r>
        <w:rPr>
          <w:rFonts w:ascii="Calibri" w:hAnsi="Calibri" w:cs="Calibri"/>
          <w:sz w:val="22"/>
          <w:lang w:val="fr-CA"/>
        </w:rPr>
        <w:t> </w:t>
      </w:r>
      <w:r>
        <w:rPr>
          <w:sz w:val="22"/>
          <w:lang w:val="fr-CA"/>
        </w:rPr>
        <w:t>effets cocktails</w:t>
      </w:r>
      <w:r>
        <w:rPr>
          <w:rFonts w:ascii="Calibri" w:hAnsi="Calibri" w:cs="Calibri"/>
          <w:sz w:val="22"/>
          <w:lang w:val="fr-CA"/>
        </w:rPr>
        <w:t> </w:t>
      </w:r>
      <w:r>
        <w:rPr>
          <w:rFonts w:cs="Marianne"/>
          <w:sz w:val="22"/>
          <w:lang w:val="fr-CA"/>
        </w:rPr>
        <w:t>»</w:t>
      </w:r>
    </w:p>
    <w:p w14:paraId="2AAE232D"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Projets de dépollutions de sols ou des nappes souterraines </w:t>
      </w:r>
    </w:p>
    <w:p w14:paraId="75884272"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Projets d’expérimentation et de vitrine sur des stations d’épuration à des fins de suivi épuratoire et d’identification des polluants présents dans les eaux usées ainsi que de leurs sources </w:t>
      </w:r>
    </w:p>
    <w:p w14:paraId="076A0C19"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Projets sur la </w:t>
      </w:r>
      <w:proofErr w:type="spellStart"/>
      <w:r>
        <w:rPr>
          <w:rFonts w:eastAsia="Arial" w:cstheme="minorBidi"/>
          <w:sz w:val="22"/>
          <w:lang w:eastAsia="zh-CN"/>
        </w:rPr>
        <w:t>phytoépuration</w:t>
      </w:r>
      <w:proofErr w:type="spellEnd"/>
      <w:r>
        <w:rPr>
          <w:rFonts w:eastAsia="Arial" w:cstheme="minorBidi"/>
          <w:sz w:val="22"/>
          <w:lang w:eastAsia="zh-CN"/>
        </w:rPr>
        <w:t xml:space="preserve"> et les solutions dites de remédiation, (y compris comprenant des innovations en termes d’économie circulaire comme la récupération de minéraux rares stratégiques par </w:t>
      </w:r>
      <w:proofErr w:type="spellStart"/>
      <w:r>
        <w:rPr>
          <w:rFonts w:eastAsia="Arial" w:cstheme="minorBidi"/>
          <w:sz w:val="22"/>
          <w:lang w:eastAsia="zh-CN"/>
        </w:rPr>
        <w:t>écocatalyse</w:t>
      </w:r>
      <w:proofErr w:type="spellEnd"/>
      <w:r>
        <w:rPr>
          <w:rFonts w:eastAsia="Arial" w:cstheme="minorBidi"/>
          <w:sz w:val="22"/>
          <w:lang w:eastAsia="zh-CN"/>
        </w:rPr>
        <w:t xml:space="preserve"> de plantes caractéristiques de zones humides).</w:t>
      </w:r>
    </w:p>
    <w:p w14:paraId="0A5ED827" w14:textId="77777777" w:rsidR="00661A24" w:rsidRDefault="00AD6DC1">
      <w:pPr>
        <w:pStyle w:val="Corpsdetexte"/>
        <w:numPr>
          <w:ilvl w:val="0"/>
          <w:numId w:val="18"/>
        </w:numPr>
        <w:spacing w:before="182"/>
        <w:rPr>
          <w:rFonts w:eastAsia="Marianne" w:cs="Marianne"/>
          <w:bCs/>
          <w:sz w:val="22"/>
        </w:rPr>
      </w:pPr>
      <w:r>
        <w:rPr>
          <w:rFonts w:eastAsia="Arial" w:cstheme="minorBidi"/>
          <w:sz w:val="22"/>
          <w:lang w:eastAsia="zh-CN"/>
        </w:rPr>
        <w:t>Projets d’amélioration des procédés de traitement d’effluents avant rejet au milieu naturel (zones de rejets végétalisées par exemple)</w:t>
      </w:r>
    </w:p>
    <w:p w14:paraId="73970511" w14:textId="77777777" w:rsidR="00661A24" w:rsidRDefault="00AD6DC1">
      <w:pPr>
        <w:pStyle w:val="Corpsdetexte"/>
        <w:numPr>
          <w:ilvl w:val="0"/>
          <w:numId w:val="18"/>
        </w:numPr>
        <w:spacing w:before="182"/>
        <w:rPr>
          <w:rFonts w:eastAsia="Marianne" w:cs="Marianne"/>
          <w:bCs/>
          <w:sz w:val="22"/>
        </w:rPr>
      </w:pPr>
      <w:r>
        <w:rPr>
          <w:rFonts w:eastAsia="Marianne" w:cs="Marianne"/>
          <w:bCs/>
          <w:sz w:val="22"/>
        </w:rPr>
        <w:t>Projets d’assainissement non-collectif (en particulier dans les DOM : mise en place de plateformes d’essai en milieu tropical)</w:t>
      </w:r>
    </w:p>
    <w:p w14:paraId="03AA4029" w14:textId="77777777" w:rsidR="00661A24" w:rsidRDefault="00661A24">
      <w:pPr>
        <w:spacing w:after="120"/>
        <w:rPr>
          <w:rFonts w:ascii="Marianne" w:hAnsi="Marianne"/>
        </w:rPr>
      </w:pPr>
    </w:p>
    <w:p w14:paraId="356C166C"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t>THEME 4</w:t>
      </w:r>
      <w:r>
        <w:rPr>
          <w:rFonts w:ascii="Calibri" w:hAnsi="Calibri" w:cs="Calibri"/>
          <w:smallCaps/>
          <w:color w:val="000000"/>
          <w:sz w:val="22"/>
          <w:szCs w:val="22"/>
        </w:rPr>
        <w:t> </w:t>
      </w:r>
      <w:r>
        <w:rPr>
          <w:rFonts w:ascii="Marianne" w:hAnsi="Marianne" w:cs="Arial"/>
          <w:smallCaps/>
          <w:color w:val="000000"/>
          <w:sz w:val="22"/>
          <w:szCs w:val="22"/>
        </w:rPr>
        <w:t xml:space="preserve">: TRANSVERSAL – DEVELOPPER LE NUMERIQUE ET LA DONNEE AU SERVICE DE LA GESTION TRANSVERSE DE L’EAU </w:t>
      </w:r>
    </w:p>
    <w:p w14:paraId="0EA5098D" w14:textId="77777777" w:rsidR="00661A24" w:rsidRDefault="00661A24">
      <w:pPr>
        <w:pStyle w:val="Paragraphedeliste"/>
        <w:rPr>
          <w:rFonts w:ascii="Marianne" w:hAnsi="Marianne" w:cstheme="minorBidi"/>
          <w:lang w:eastAsia="zh-CN"/>
        </w:rPr>
      </w:pPr>
    </w:p>
    <w:p w14:paraId="6C6C114E" w14:textId="77777777" w:rsidR="00661A24" w:rsidRDefault="00AD6DC1">
      <w:pPr>
        <w:rPr>
          <w:rFonts w:ascii="Marianne" w:hAnsi="Marianne" w:cstheme="minorBidi"/>
          <w:b/>
          <w:bCs/>
          <w:lang w:eastAsia="zh-CN"/>
        </w:rPr>
      </w:pPr>
      <w:r>
        <w:rPr>
          <w:rFonts w:ascii="Marianne" w:hAnsi="Marianne" w:cstheme="minorBidi"/>
          <w:b/>
          <w:bCs/>
          <w:lang w:eastAsia="zh-CN"/>
        </w:rPr>
        <w:t>Sont attendus des projets permettant l’acquisition, la compilation et l’analyse de données pour piloter la gestion des volumes et de la qualité de la ressource – y compris en temps de crise – dans la perspective de les rendre accessibles et exploitables pour le plus grand nombre tels que</w:t>
      </w:r>
      <w:r>
        <w:rPr>
          <w:rFonts w:ascii="Calibri" w:hAnsi="Calibri" w:cs="Calibri"/>
          <w:b/>
          <w:bCs/>
          <w:lang w:eastAsia="zh-CN"/>
        </w:rPr>
        <w:t> </w:t>
      </w:r>
      <w:r>
        <w:rPr>
          <w:rFonts w:ascii="Marianne" w:hAnsi="Marianne" w:cstheme="minorBidi"/>
          <w:b/>
          <w:bCs/>
          <w:lang w:eastAsia="zh-CN"/>
        </w:rPr>
        <w:t>:</w:t>
      </w:r>
    </w:p>
    <w:p w14:paraId="08E0C830"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t xml:space="preserve">Projets de développement de suivi et pilotage des consommations d'eau, d’outils d’aide à la décision s’appuyant sur le traitement de données, pour les particuliers, les industriels, les agriculteurs ou les collectivités, </w:t>
      </w:r>
    </w:p>
    <w:p w14:paraId="326C8DD0"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t>Solutions améliorant le suivi des volumes d’eau stockés en surface (zones humides, plans d’eau, barrages…), le suivi des surfaces agricoles irriguées, les prélèvements effectués en surface ou en eaux souterraines</w:t>
      </w:r>
    </w:p>
    <w:p w14:paraId="09893D22"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t>Technologies et outils innovants de métrologie, d’analyse et de suivi en temps réel de la qualité de l’eau</w:t>
      </w:r>
    </w:p>
    <w:p w14:paraId="70FAE949"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t>Projets de développement d’outils type «</w:t>
      </w:r>
      <w:r>
        <w:rPr>
          <w:rFonts w:ascii="Calibri" w:eastAsia="Arial" w:hAnsi="Calibri" w:cs="Calibri"/>
          <w:sz w:val="22"/>
          <w:lang w:eastAsia="zh-CN"/>
        </w:rPr>
        <w:t> </w:t>
      </w:r>
      <w:r>
        <w:rPr>
          <w:rFonts w:eastAsia="Arial" w:cstheme="minorBidi"/>
          <w:sz w:val="22"/>
          <w:lang w:eastAsia="zh-CN"/>
        </w:rPr>
        <w:t>Empreinte Eau</w:t>
      </w:r>
      <w:r>
        <w:rPr>
          <w:rFonts w:ascii="Calibri" w:eastAsia="Arial" w:hAnsi="Calibri" w:cs="Calibri"/>
          <w:sz w:val="22"/>
          <w:lang w:eastAsia="zh-CN"/>
        </w:rPr>
        <w:t> </w:t>
      </w:r>
      <w:r>
        <w:rPr>
          <w:rFonts w:eastAsia="Arial" w:cstheme="minorBidi"/>
          <w:sz w:val="22"/>
          <w:lang w:eastAsia="zh-CN"/>
        </w:rPr>
        <w:t xml:space="preserve">» pour un produit ou service sur un schéma similaire à celui d’une empreinte carbone </w:t>
      </w:r>
    </w:p>
    <w:p w14:paraId="64D48E9A" w14:textId="77777777" w:rsidR="00661A24" w:rsidRDefault="00AD6DC1">
      <w:pPr>
        <w:spacing w:before="182" w:after="160" w:line="259" w:lineRule="auto"/>
        <w:rPr>
          <w:rFonts w:ascii="Marianne" w:hAnsi="Marianne"/>
          <w:bCs/>
        </w:rPr>
      </w:pPr>
      <w:r>
        <w:rPr>
          <w:rFonts w:ascii="Marianne" w:hAnsi="Marianne"/>
          <w:bCs/>
        </w:rPr>
        <w:t xml:space="preserve">Sur ce thème, les projets s’inscrivant dans un principe de participation à la constitution de « biens communs », feront l’objet d’une attention particulière en phase d’instruction détaillée des projets, puis dans leur suivi. La participation effective proposée des projets à la constitution de biens communs sera prise en compte dans </w:t>
      </w:r>
      <w:r>
        <w:rPr>
          <w:rFonts w:ascii="Marianne" w:hAnsi="Marianne"/>
          <w:bCs/>
        </w:rPr>
        <w:lastRenderedPageBreak/>
        <w:t>l’évaluation. Les contributions que les porteurs de projet envisagent d’apporter au bien commun sur la thématique de l’appel à projets sont précisées en annexe.</w:t>
      </w:r>
    </w:p>
    <w:p w14:paraId="496F982A" w14:textId="77777777" w:rsidR="00661A24" w:rsidRDefault="00AD6DC1">
      <w:pPr>
        <w:pStyle w:val="Titre2"/>
        <w:rPr>
          <w:rFonts w:ascii="Marianne" w:hAnsi="Marianne"/>
        </w:rPr>
      </w:pPr>
      <w:bookmarkStart w:id="34" w:name="_Toc91083588"/>
      <w:bookmarkStart w:id="35" w:name="_Toc140092162"/>
      <w:bookmarkStart w:id="36" w:name="_Toc10647584"/>
      <w:bookmarkStart w:id="37" w:name="_Toc10651059"/>
      <w:r>
        <w:rPr>
          <w:rFonts w:ascii="Marianne" w:hAnsi="Marianne"/>
        </w:rPr>
        <w:t>Définitions</w:t>
      </w:r>
      <w:bookmarkEnd w:id="34"/>
      <w:bookmarkEnd w:id="35"/>
    </w:p>
    <w:p w14:paraId="592D6483" w14:textId="77777777" w:rsidR="00661A24" w:rsidRDefault="00AD6DC1">
      <w:pPr>
        <w:spacing w:after="120"/>
        <w:rPr>
          <w:rFonts w:ascii="Marianne" w:hAnsi="Marianne"/>
        </w:rPr>
      </w:pPr>
      <w:r>
        <w:rPr>
          <w:rFonts w:ascii="Marianne" w:hAnsi="Marianne"/>
        </w:rPr>
        <w:t>Au sens du présent cahier des charges, les définitions ci-dessous sont adoptées</w:t>
      </w:r>
      <w:r>
        <w:rPr>
          <w:rStyle w:val="Appelnotedebasdep"/>
          <w:rFonts w:ascii="Marianne" w:hAnsi="Marianne"/>
        </w:rPr>
        <w:footnoteReference w:id="1"/>
      </w:r>
      <w:r>
        <w:rPr>
          <w:rFonts w:ascii="Calibri" w:hAnsi="Calibri" w:cs="Calibri"/>
        </w:rPr>
        <w:t> </w:t>
      </w:r>
      <w:r>
        <w:rPr>
          <w:rFonts w:ascii="Marianne" w:hAnsi="Marianne"/>
        </w:rPr>
        <w:t>:</w:t>
      </w:r>
    </w:p>
    <w:p w14:paraId="3D75ECF3" w14:textId="77777777" w:rsidR="00661A24" w:rsidRDefault="00AD6DC1">
      <w:pPr>
        <w:spacing w:after="120"/>
        <w:rPr>
          <w:rFonts w:ascii="Marianne" w:hAnsi="Marianne"/>
        </w:rPr>
      </w:pPr>
      <w:r>
        <w:rPr>
          <w:rFonts w:ascii="Marianne" w:hAnsi="Marianne"/>
          <w:b/>
          <w:bCs/>
        </w:rPr>
        <w:t xml:space="preserve">Eaux réemployées : </w:t>
      </w:r>
      <w:r>
        <w:rPr>
          <w:rFonts w:ascii="Marianne" w:hAnsi="Marianne"/>
        </w:rPr>
        <w:t>eaux qui ont été utilisées et qui sont collectées directement après une utilisation pour une réutilisation dans le processus ultérieur avec ou sans nécessité d’un traitement préalable</w:t>
      </w:r>
    </w:p>
    <w:p w14:paraId="70100DAD" w14:textId="77777777" w:rsidR="00661A24" w:rsidRDefault="00AD6DC1">
      <w:pPr>
        <w:spacing w:after="120"/>
        <w:rPr>
          <w:rFonts w:ascii="Marianne" w:hAnsi="Marianne"/>
        </w:rPr>
      </w:pPr>
      <w:r>
        <w:rPr>
          <w:rFonts w:ascii="Marianne" w:hAnsi="Marianne"/>
          <w:b/>
          <w:bCs/>
        </w:rPr>
        <w:t xml:space="preserve">Eaux recyclées : </w:t>
      </w:r>
      <w:r>
        <w:rPr>
          <w:rFonts w:ascii="Marianne" w:hAnsi="Marianne"/>
        </w:rPr>
        <w:t xml:space="preserve">eaux usées, impropres à la consommation humaine, traitées en vue de leur utilisation pour d’autres catégories d’usage. </w:t>
      </w:r>
    </w:p>
    <w:p w14:paraId="32E9992A" w14:textId="77777777" w:rsidR="00661A24" w:rsidRDefault="00AD6DC1">
      <w:pPr>
        <w:spacing w:after="120"/>
        <w:rPr>
          <w:rFonts w:ascii="Marianne" w:hAnsi="Marianne"/>
        </w:rPr>
      </w:pPr>
      <w:r>
        <w:rPr>
          <w:rFonts w:ascii="Marianne" w:hAnsi="Marianne"/>
          <w:b/>
          <w:bCs/>
        </w:rPr>
        <w:t xml:space="preserve">Eaux réutilisées : </w:t>
      </w:r>
      <w:r>
        <w:rPr>
          <w:rFonts w:ascii="Marianne" w:hAnsi="Marianne"/>
        </w:rPr>
        <w:t>eaux usées traitées une fois sorties de STEP (station d’épuration des eaux usées). Ainsi les eaux réutilisées sont une catégorie des eaux recyclées.</w:t>
      </w:r>
    </w:p>
    <w:p w14:paraId="46A5A8B7" w14:textId="77777777" w:rsidR="00661A24" w:rsidRDefault="00AD6DC1">
      <w:pPr>
        <w:spacing w:after="120"/>
        <w:rPr>
          <w:rFonts w:ascii="Marianne" w:hAnsi="Marianne"/>
        </w:rPr>
      </w:pPr>
      <w:r>
        <w:rPr>
          <w:rFonts w:ascii="Marianne" w:hAnsi="Marianne"/>
          <w:b/>
          <w:bCs/>
        </w:rPr>
        <w:t xml:space="preserve">REUT : </w:t>
      </w:r>
      <w:r>
        <w:rPr>
          <w:rFonts w:ascii="Marianne" w:hAnsi="Marianne"/>
        </w:rPr>
        <w:t>réutilisation des eaux usées traitées une fois sorties de STEP (station d’épuration des eaux usées)</w:t>
      </w:r>
    </w:p>
    <w:p w14:paraId="5C4640C2" w14:textId="77777777" w:rsidR="00661A24" w:rsidRDefault="00AD6DC1">
      <w:pPr>
        <w:spacing w:after="120"/>
        <w:rPr>
          <w:rFonts w:ascii="Marianne" w:hAnsi="Marianne"/>
        </w:rPr>
      </w:pPr>
      <w:r>
        <w:rPr>
          <w:rFonts w:ascii="Marianne" w:hAnsi="Marianne"/>
          <w:b/>
          <w:bCs/>
        </w:rPr>
        <w:t xml:space="preserve">Eaux récupérées : </w:t>
      </w:r>
      <w:r>
        <w:rPr>
          <w:rFonts w:ascii="Marianne" w:hAnsi="Marianne"/>
        </w:rPr>
        <w:t>eaux qui étaient à l’origine un constituant d’une matière première, extraites au cours d’une étape de transformation pour être ensuite utilisée directement dans un processus industriel</w:t>
      </w:r>
    </w:p>
    <w:p w14:paraId="0E2F28DF" w14:textId="77777777" w:rsidR="00661A24" w:rsidRDefault="00AD6DC1">
      <w:pPr>
        <w:spacing w:after="120"/>
        <w:rPr>
          <w:rFonts w:ascii="Marianne" w:hAnsi="Marianne"/>
        </w:rPr>
      </w:pPr>
      <w:r>
        <w:rPr>
          <w:rFonts w:ascii="Marianne" w:hAnsi="Marianne"/>
          <w:b/>
          <w:bCs/>
        </w:rPr>
        <w:t xml:space="preserve">Eaux consommées : </w:t>
      </w:r>
      <w:r>
        <w:rPr>
          <w:rFonts w:ascii="Marianne" w:hAnsi="Marianne"/>
        </w:rPr>
        <w:t>eaux prélevées, réellement consommées, absorbées. Elles ne peuvent pas être renvoyées directement dans la nature après usage.</w:t>
      </w:r>
    </w:p>
    <w:p w14:paraId="423FB70C" w14:textId="77777777" w:rsidR="00661A24" w:rsidRDefault="00AD6DC1">
      <w:pPr>
        <w:spacing w:after="120"/>
        <w:rPr>
          <w:rFonts w:ascii="Marianne" w:hAnsi="Marianne"/>
          <w:b/>
          <w:bCs/>
        </w:rPr>
      </w:pPr>
      <w:r>
        <w:rPr>
          <w:rFonts w:ascii="Marianne" w:hAnsi="Marianne"/>
          <w:b/>
          <w:bCs/>
        </w:rPr>
        <w:t xml:space="preserve">Eaux prélevées : </w:t>
      </w:r>
      <w:r>
        <w:rPr>
          <w:rFonts w:ascii="Marianne" w:hAnsi="Marianne"/>
        </w:rPr>
        <w:t>eaux prélevées dans le milieu naturel puis rejetées après utilisation (donc à nouveau disponibles)</w:t>
      </w:r>
    </w:p>
    <w:p w14:paraId="215E1E81" w14:textId="77777777" w:rsidR="00661A24" w:rsidRDefault="00661A24">
      <w:pPr>
        <w:spacing w:after="120"/>
        <w:rPr>
          <w:rFonts w:ascii="Marianne" w:hAnsi="Marianne"/>
        </w:rPr>
      </w:pPr>
    </w:p>
    <w:p w14:paraId="532D71AD" w14:textId="77777777" w:rsidR="00E3167C" w:rsidRDefault="00E3167C">
      <w:pPr>
        <w:rPr>
          <w:rFonts w:ascii="Marianne" w:hAnsi="Marianne"/>
          <w:b/>
          <w:smallCaps/>
          <w:color w:val="002060"/>
          <w:sz w:val="24"/>
          <w:szCs w:val="24"/>
        </w:rPr>
      </w:pPr>
      <w:bookmarkStart w:id="38" w:name="_Toc75875329"/>
      <w:r>
        <w:rPr>
          <w:rFonts w:ascii="Marianne" w:hAnsi="Marianne"/>
          <w:color w:val="002060"/>
        </w:rPr>
        <w:br w:type="page"/>
      </w:r>
    </w:p>
    <w:p w14:paraId="32C4F7DB" w14:textId="56C4B3AA" w:rsidR="00661A24" w:rsidRDefault="00AD6DC1">
      <w:pPr>
        <w:pStyle w:val="Titre1"/>
        <w:spacing w:before="0" w:after="120" w:line="240" w:lineRule="auto"/>
        <w:rPr>
          <w:rFonts w:ascii="Marianne" w:hAnsi="Marianne"/>
          <w:color w:val="002060"/>
        </w:rPr>
      </w:pPr>
      <w:bookmarkStart w:id="39" w:name="_Toc140092163"/>
      <w:r>
        <w:rPr>
          <w:rFonts w:ascii="Marianne" w:hAnsi="Marianne"/>
          <w:color w:val="002060"/>
        </w:rPr>
        <w:lastRenderedPageBreak/>
        <w:t>Processus global de l’AAP</w:t>
      </w:r>
      <w:bookmarkEnd w:id="38"/>
      <w:bookmarkEnd w:id="39"/>
    </w:p>
    <w:p w14:paraId="496560DA" w14:textId="77777777" w:rsidR="00661A24" w:rsidRDefault="00AD6DC1">
      <w:pPr>
        <w:spacing w:before="120" w:after="180"/>
        <w:rPr>
          <w:rFonts w:ascii="Marianne" w:hAnsi="Marianne"/>
        </w:rPr>
      </w:pPr>
      <w:r>
        <w:rPr>
          <w:rFonts w:ascii="Marianne" w:hAnsi="Marianne"/>
        </w:rPr>
        <w:t xml:space="preserve">Le processus de traitement d’un dossier comprend plusieurs étapes : le pré-dépôt, le dépôt, la décision de financement et la contractualisation du projet. </w:t>
      </w:r>
    </w:p>
    <w:p w14:paraId="5141724C" w14:textId="77777777" w:rsidR="00661A24" w:rsidRDefault="00AD6DC1">
      <w:pPr>
        <w:spacing w:before="120" w:after="180"/>
        <w:jc w:val="center"/>
        <w:rPr>
          <w:rFonts w:ascii="Marianne" w:hAnsi="Marianne"/>
        </w:rPr>
      </w:pPr>
      <w:r>
        <w:rPr>
          <w:rFonts w:ascii="Marianne" w:hAnsi="Marianne"/>
          <w:noProof/>
        </w:rPr>
        <w:drawing>
          <wp:inline distT="0" distB="0" distL="0" distR="0" wp14:anchorId="4D36C535" wp14:editId="49384F81">
            <wp:extent cx="5756657" cy="64858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32625"/>
                    <a:stretch/>
                  </pic:blipFill>
                  <pic:spPr bwMode="auto">
                    <a:xfrm>
                      <a:off x="0" y="0"/>
                      <a:ext cx="5759450" cy="648901"/>
                    </a:xfrm>
                    <a:prstGeom prst="rect">
                      <a:avLst/>
                    </a:prstGeom>
                    <a:noFill/>
                    <a:ln>
                      <a:noFill/>
                    </a:ln>
                    <a:extLst>
                      <a:ext uri="{53640926-AAD7-44D8-BBD7-CCE9431645EC}">
                        <a14:shadowObscured xmlns:a14="http://schemas.microsoft.com/office/drawing/2010/main"/>
                      </a:ext>
                    </a:extLst>
                  </pic:spPr>
                </pic:pic>
              </a:graphicData>
            </a:graphic>
          </wp:inline>
        </w:drawing>
      </w:r>
    </w:p>
    <w:p w14:paraId="56CAA50D"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0" w:name="_Toc140092164"/>
      <w:bookmarkStart w:id="41" w:name="_Toc74823234"/>
      <w:bookmarkStart w:id="42" w:name="_Toc75875330"/>
      <w:r>
        <w:rPr>
          <w:rFonts w:ascii="Marianne" w:hAnsi="Marianne"/>
          <w:b/>
          <w:bCs/>
          <w:color w:val="000000"/>
        </w:rPr>
        <w:t>Critères d’éligibilité</w:t>
      </w:r>
      <w:bookmarkEnd w:id="40"/>
    </w:p>
    <w:p w14:paraId="372ABC97" w14:textId="77777777" w:rsidR="00661A24" w:rsidRDefault="00AD6DC1">
      <w:pPr>
        <w:pBdr>
          <w:top w:val="nil"/>
          <w:left w:val="nil"/>
          <w:bottom w:val="nil"/>
          <w:right w:val="nil"/>
          <w:between w:val="nil"/>
        </w:pBdr>
        <w:spacing w:before="120" w:after="0"/>
        <w:jc w:val="left"/>
        <w:rPr>
          <w:rFonts w:ascii="Marianne" w:hAnsi="Marianne"/>
          <w:color w:val="000000"/>
        </w:rPr>
      </w:pPr>
      <w:r>
        <w:rPr>
          <w:rFonts w:ascii="Marianne" w:hAnsi="Marianne"/>
          <w:color w:val="000000"/>
        </w:rPr>
        <w:t xml:space="preserve">Dans le cas général, voici les critères clés : </w:t>
      </w:r>
    </w:p>
    <w:p w14:paraId="7D91B0AA" w14:textId="77777777" w:rsidR="00661A24" w:rsidRDefault="00AD6DC1">
      <w:pPr>
        <w:numPr>
          <w:ilvl w:val="0"/>
          <w:numId w:val="3"/>
        </w:numPr>
        <w:pBdr>
          <w:top w:val="nil"/>
          <w:left w:val="nil"/>
          <w:bottom w:val="nil"/>
          <w:right w:val="nil"/>
          <w:between w:val="nil"/>
        </w:pBdr>
        <w:spacing w:before="120" w:after="0"/>
        <w:ind w:left="720"/>
        <w:rPr>
          <w:rFonts w:ascii="Marianne" w:hAnsi="Marianne"/>
          <w:bCs/>
        </w:rPr>
      </w:pPr>
      <w:r>
        <w:rPr>
          <w:rFonts w:ascii="Marianne" w:hAnsi="Marianne"/>
          <w:b/>
          <w:color w:val="000000"/>
        </w:rPr>
        <w:t>Montant minimum de coût du projet</w:t>
      </w:r>
      <w:r>
        <w:rPr>
          <w:rFonts w:ascii="Calibri" w:hAnsi="Calibri" w:cs="Calibri"/>
          <w:b/>
          <w:color w:val="000000"/>
        </w:rPr>
        <w:t> </w:t>
      </w:r>
      <w:r>
        <w:rPr>
          <w:rFonts w:ascii="Marianne" w:hAnsi="Marianne"/>
          <w:b/>
          <w:color w:val="000000"/>
        </w:rPr>
        <w:t>:</w:t>
      </w:r>
      <w:r>
        <w:rPr>
          <w:rFonts w:ascii="Marianne" w:hAnsi="Marianne"/>
          <w:bCs/>
        </w:rPr>
        <w:t xml:space="preserve"> </w:t>
      </w:r>
      <w:r>
        <w:rPr>
          <w:rFonts w:ascii="Marianne" w:hAnsi="Marianne"/>
          <w:b/>
          <w:bCs/>
        </w:rPr>
        <w:t>0,6 millions d’euros</w:t>
      </w:r>
      <w:r>
        <w:rPr>
          <w:rFonts w:ascii="Marianne" w:hAnsi="Marianne"/>
          <w:bCs/>
        </w:rPr>
        <w:t xml:space="preserve"> minimum</w:t>
      </w:r>
    </w:p>
    <w:p w14:paraId="5933525B" w14:textId="77777777" w:rsidR="00661A24" w:rsidRDefault="00AD6DC1">
      <w:pPr>
        <w:numPr>
          <w:ilvl w:val="1"/>
          <w:numId w:val="3"/>
        </w:numPr>
        <w:pBdr>
          <w:top w:val="nil"/>
          <w:left w:val="nil"/>
          <w:bottom w:val="nil"/>
          <w:right w:val="nil"/>
          <w:between w:val="nil"/>
        </w:pBdr>
        <w:spacing w:before="120" w:after="0"/>
        <w:ind w:left="1440"/>
        <w:rPr>
          <w:rFonts w:ascii="Marianne" w:hAnsi="Marianne"/>
        </w:rPr>
      </w:pPr>
      <w:r>
        <w:rPr>
          <w:rFonts w:ascii="Marianne" w:hAnsi="Marianne"/>
        </w:rPr>
        <w:t>Dans les départements et régions d’outre-mer où ce minimum pourra être ramené à 0,2M€ sur chacun des thèmes</w:t>
      </w:r>
    </w:p>
    <w:p w14:paraId="20EB5CC7" w14:textId="77777777" w:rsidR="00661A24" w:rsidRDefault="00AD6DC1">
      <w:pPr>
        <w:numPr>
          <w:ilvl w:val="1"/>
          <w:numId w:val="3"/>
        </w:numPr>
        <w:pBdr>
          <w:top w:val="nil"/>
          <w:left w:val="nil"/>
          <w:bottom w:val="nil"/>
          <w:right w:val="nil"/>
          <w:between w:val="nil"/>
        </w:pBdr>
        <w:spacing w:before="120" w:after="0"/>
        <w:ind w:left="1440"/>
        <w:rPr>
          <w:rFonts w:ascii="Marianne" w:hAnsi="Marianne"/>
        </w:rPr>
      </w:pPr>
      <w:r>
        <w:rPr>
          <w:rFonts w:ascii="Marianne" w:hAnsi="Marianne"/>
        </w:rPr>
        <w:t>Ce minimum de 0,2M€ pourra également s’appliquer pour les projets mettant principalement en œuvre des solutions fondées sur la nature</w:t>
      </w:r>
    </w:p>
    <w:p w14:paraId="00531178"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Nombre de partenaires (i.e. demandeurs d’aides) :</w:t>
      </w:r>
    </w:p>
    <w:p w14:paraId="0DD1CD89" w14:textId="77777777" w:rsidR="00661A24" w:rsidRDefault="00AD6DC1">
      <w:pPr>
        <w:numPr>
          <w:ilvl w:val="1"/>
          <w:numId w:val="3"/>
        </w:numPr>
        <w:pBdr>
          <w:top w:val="nil"/>
          <w:left w:val="nil"/>
          <w:bottom w:val="nil"/>
          <w:right w:val="nil"/>
          <w:between w:val="nil"/>
        </w:pBdr>
        <w:spacing w:before="120" w:after="0"/>
        <w:ind w:left="1440"/>
        <w:rPr>
          <w:rFonts w:ascii="Marianne" w:hAnsi="Marianne"/>
          <w:color w:val="000000"/>
        </w:rPr>
      </w:pPr>
      <w:r>
        <w:rPr>
          <w:rFonts w:ascii="Marianne" w:hAnsi="Marianne"/>
        </w:rPr>
        <w:t xml:space="preserve">Le coordinateur du projet, ou le porteur dans le cas d’un projet mono-partenaire, doit être une entreprise </w:t>
      </w:r>
    </w:p>
    <w:p w14:paraId="44C6C94D" w14:textId="77777777" w:rsidR="00661A24" w:rsidRDefault="00AD6DC1">
      <w:pPr>
        <w:numPr>
          <w:ilvl w:val="1"/>
          <w:numId w:val="3"/>
        </w:numPr>
        <w:pBdr>
          <w:top w:val="nil"/>
          <w:left w:val="nil"/>
          <w:bottom w:val="nil"/>
          <w:right w:val="nil"/>
          <w:between w:val="nil"/>
        </w:pBdr>
        <w:spacing w:before="120" w:after="0"/>
        <w:ind w:left="1440"/>
        <w:rPr>
          <w:rFonts w:ascii="Marianne" w:hAnsi="Marianne"/>
          <w:color w:val="000000"/>
        </w:rPr>
      </w:pPr>
      <w:r>
        <w:rPr>
          <w:rFonts w:ascii="Marianne" w:hAnsi="Marianne"/>
          <w:color w:val="000000"/>
        </w:rPr>
        <w:t>Dans le cas d’un consortium, composé d’entreprises ou d’établissements de recherche, les projets pourront impliquer jusqu’à 5 partenaires demandeurs d’aides maximum et c</w:t>
      </w:r>
      <w:r>
        <w:rPr>
          <w:rFonts w:ascii="Marianne" w:hAnsi="Marianne"/>
        </w:rPr>
        <w:t xml:space="preserve">haque partenaire devra porter au moins </w:t>
      </w:r>
      <w:r>
        <w:rPr>
          <w:rStyle w:val="docdata"/>
          <w:rFonts w:ascii="Marianne" w:hAnsi="Marianne"/>
          <w:color w:val="000000"/>
        </w:rPr>
        <w:t xml:space="preserve">400k€ de dépenses éligibles </w:t>
      </w:r>
      <w:r>
        <w:rPr>
          <w:rFonts w:ascii="Marianne" w:hAnsi="Marianne"/>
        </w:rPr>
        <w:t xml:space="preserve">pour justifier de son implication en tant que partenaire </w:t>
      </w:r>
    </w:p>
    <w:p w14:paraId="19257097"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 xml:space="preserve">Respect de l’objet de l’AAP : </w:t>
      </w:r>
      <w:r>
        <w:rPr>
          <w:rFonts w:ascii="Marianne" w:hAnsi="Marianne"/>
        </w:rPr>
        <w:t>les projets ne respectant pas l’objet de l’AAP ne seront pas instruits</w:t>
      </w:r>
    </w:p>
    <w:p w14:paraId="4C5CFFD6" w14:textId="77777777" w:rsidR="00661A24" w:rsidRDefault="00AD6DC1">
      <w:pPr>
        <w:numPr>
          <w:ilvl w:val="0"/>
          <w:numId w:val="3"/>
        </w:numPr>
        <w:pBdr>
          <w:top w:val="nil"/>
          <w:left w:val="nil"/>
          <w:bottom w:val="nil"/>
          <w:right w:val="nil"/>
          <w:between w:val="nil"/>
        </w:pBdr>
        <w:spacing w:before="120" w:after="0"/>
        <w:ind w:left="720"/>
        <w:rPr>
          <w:rFonts w:ascii="Marianne" w:hAnsi="Marianne"/>
          <w:color w:val="000000"/>
        </w:rPr>
      </w:pPr>
      <w:r>
        <w:rPr>
          <w:rFonts w:ascii="Marianne" w:hAnsi="Marianne"/>
          <w:color w:val="000000"/>
        </w:rPr>
        <w:t xml:space="preserve">Les projets causant un préjudice important du point de vue de l’environnement seront également exclus (application du principe DNSH – </w:t>
      </w:r>
      <w:r>
        <w:rPr>
          <w:rFonts w:ascii="Marianne" w:hAnsi="Marianne"/>
          <w:i/>
          <w:iCs/>
          <w:color w:val="000000"/>
        </w:rPr>
        <w:t xml:space="preserve">Do No </w:t>
      </w:r>
      <w:proofErr w:type="spellStart"/>
      <w:r>
        <w:rPr>
          <w:rFonts w:ascii="Marianne" w:hAnsi="Marianne"/>
          <w:i/>
          <w:iCs/>
          <w:color w:val="000000"/>
        </w:rPr>
        <w:t>Significant</w:t>
      </w:r>
      <w:proofErr w:type="spellEnd"/>
      <w:r>
        <w:rPr>
          <w:rFonts w:ascii="Marianne" w:hAnsi="Marianne"/>
          <w:i/>
          <w:iCs/>
          <w:color w:val="000000"/>
        </w:rPr>
        <w:t xml:space="preserve"> </w:t>
      </w:r>
      <w:proofErr w:type="spellStart"/>
      <w:r>
        <w:rPr>
          <w:rFonts w:ascii="Marianne" w:hAnsi="Marianne"/>
          <w:i/>
          <w:iCs/>
          <w:color w:val="000000"/>
        </w:rPr>
        <w:t>Harm</w:t>
      </w:r>
      <w:proofErr w:type="spellEnd"/>
      <w:r>
        <w:rPr>
          <w:rFonts w:ascii="Marianne" w:hAnsi="Marianne"/>
          <w:color w:val="000000"/>
        </w:rPr>
        <w:t xml:space="preserve"> ou « absence de préjudice important ») au sens de l’article 17 du règlement européen sur la taxonomie</w:t>
      </w:r>
      <w:r>
        <w:rPr>
          <w:rStyle w:val="Appelnotedebasdep"/>
          <w:rFonts w:ascii="Marianne" w:hAnsi="Marianne"/>
          <w:color w:val="000000"/>
        </w:rPr>
        <w:footnoteReference w:id="2"/>
      </w:r>
    </w:p>
    <w:p w14:paraId="26CF8A50"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 xml:space="preserve">Composition du dossier et respect des délais : </w:t>
      </w:r>
      <w:r>
        <w:rPr>
          <w:rFonts w:ascii="Marianne" w:hAnsi="Marianne"/>
          <w:color w:val="000000"/>
        </w:rPr>
        <w:t>l</w:t>
      </w:r>
      <w:r>
        <w:rPr>
          <w:rFonts w:ascii="Marianne" w:hAnsi="Marianne"/>
        </w:rPr>
        <w:t>e dossier devra être soumis dans les délais et par les canaux indiqués. Il devra être complet, au format demandé</w:t>
      </w:r>
    </w:p>
    <w:p w14:paraId="02F9E32D"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Indicateurs d’impacts </w:t>
      </w:r>
      <w:r>
        <w:rPr>
          <w:rFonts w:ascii="Marianne" w:hAnsi="Marianne"/>
          <w:color w:val="000000"/>
        </w:rPr>
        <w:t>(</w:t>
      </w:r>
      <w:proofErr w:type="spellStart"/>
      <w:r>
        <w:rPr>
          <w:rFonts w:ascii="Marianne" w:hAnsi="Marianne"/>
          <w:color w:val="000000"/>
        </w:rPr>
        <w:t>cf</w:t>
      </w:r>
      <w:proofErr w:type="spellEnd"/>
      <w:r>
        <w:rPr>
          <w:rFonts w:ascii="Marianne" w:hAnsi="Marianne"/>
          <w:color w:val="000000"/>
        </w:rPr>
        <w:t xml:space="preserve"> Annexe 5 « Grille d’impacts »)</w:t>
      </w:r>
      <w:r>
        <w:rPr>
          <w:rFonts w:ascii="Marianne" w:hAnsi="Marianne"/>
          <w:b/>
          <w:color w:val="000000"/>
        </w:rPr>
        <w:t xml:space="preserve">: </w:t>
      </w:r>
      <w:r>
        <w:rPr>
          <w:rFonts w:ascii="Marianne" w:hAnsi="Marianne"/>
          <w:color w:val="000000"/>
        </w:rPr>
        <w:t xml:space="preserve">le porteur devra impérativement préciser les indicateurs d’impacts du projet sur un horizon à 5 ans post-projet, cumulés, a minima sur les 3 volets : </w:t>
      </w:r>
    </w:p>
    <w:p w14:paraId="478CED18"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Environnement :</w:t>
      </w:r>
      <w:r>
        <w:rPr>
          <w:rFonts w:ascii="Marianne" w:hAnsi="Marianne"/>
          <w:b/>
          <w:color w:val="000000"/>
        </w:rPr>
        <w:t xml:space="preserve"> </w:t>
      </w:r>
      <w:r>
        <w:rPr>
          <w:rFonts w:ascii="Marianne" w:hAnsi="Marianne"/>
          <w:color w:val="000000"/>
        </w:rPr>
        <w:t xml:space="preserve">conformité avec les critères de la </w:t>
      </w:r>
      <w:r>
        <w:rPr>
          <w:rFonts w:ascii="Marianne" w:hAnsi="Marianne"/>
        </w:rPr>
        <w:t>taxonomie définissant la durabilité au regard de six objectifs environnementaux</w:t>
      </w:r>
      <w:r>
        <w:rPr>
          <w:rFonts w:ascii="Marianne" w:hAnsi="Marianne"/>
          <w:color w:val="000000"/>
        </w:rPr>
        <w:t xml:space="preserve"> et compléter par l’indicateur environnemental quantitatif le plus pertinent. Une </w:t>
      </w:r>
      <w:r>
        <w:rPr>
          <w:rFonts w:ascii="Marianne" w:hAnsi="Marianne"/>
        </w:rPr>
        <w:t xml:space="preserve">évaluation environnementale de type </w:t>
      </w:r>
      <w:r>
        <w:rPr>
          <w:rFonts w:ascii="Marianne" w:hAnsi="Marianne"/>
          <w:color w:val="000000"/>
        </w:rPr>
        <w:t xml:space="preserve">ACV en début et fin de projet </w:t>
      </w:r>
      <w:r>
        <w:rPr>
          <w:rFonts w:ascii="Marianne" w:hAnsi="Marianne"/>
          <w:color w:val="000000"/>
        </w:rPr>
        <w:lastRenderedPageBreak/>
        <w:t>sera attendue pour démontrer les gains effectifs de la solution développée</w:t>
      </w:r>
    </w:p>
    <w:p w14:paraId="047090F5"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Emplois</w:t>
      </w:r>
      <w:r>
        <w:rPr>
          <w:rFonts w:ascii="Marianne" w:hAnsi="Marianne"/>
          <w:b/>
          <w:color w:val="000000"/>
        </w:rPr>
        <w:t xml:space="preserve"> </w:t>
      </w:r>
    </w:p>
    <w:p w14:paraId="6D75CC4F"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Chiffres d’affaires</w:t>
      </w:r>
    </w:p>
    <w:p w14:paraId="5B2BF393"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
          <w:color w:val="000000"/>
        </w:rPr>
        <w:t>Exigence d’</w:t>
      </w:r>
      <w:proofErr w:type="spellStart"/>
      <w:r>
        <w:rPr>
          <w:rFonts w:ascii="Marianne" w:hAnsi="Marianne"/>
          <w:b/>
          <w:color w:val="000000"/>
        </w:rPr>
        <w:t>incitativité</w:t>
      </w:r>
      <w:proofErr w:type="spellEnd"/>
      <w:r>
        <w:rPr>
          <w:rFonts w:ascii="Marianne" w:hAnsi="Marianne"/>
          <w:b/>
          <w:color w:val="000000"/>
        </w:rPr>
        <w:t xml:space="preserve"> de l’aide : </w:t>
      </w:r>
    </w:p>
    <w:p w14:paraId="402C386D"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Selon l’article 6 du RGEC, une aide est réputée avoir un effet incitatif si le bénéficiaire a présenté une demande d'aide</w:t>
      </w:r>
      <w:r>
        <w:rPr>
          <w:rFonts w:ascii="Marianne" w:hAnsi="Marianne"/>
          <w:color w:val="000000"/>
        </w:rPr>
        <w:footnoteReference w:id="3"/>
      </w:r>
      <w:r>
        <w:rPr>
          <w:rFonts w:ascii="Marianne" w:hAnsi="Marianne"/>
          <w:color w:val="000000"/>
        </w:rPr>
        <w:t xml:space="preserve"> écrite à l'État membre concerné avant le début des travaux liés au projet ou à l'activité en question</w:t>
      </w:r>
    </w:p>
    <w:p w14:paraId="7B7D8842"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Le RGEC défini par ailleurs le «</w:t>
      </w:r>
      <w:r>
        <w:rPr>
          <w:rFonts w:ascii="Calibri" w:hAnsi="Calibri" w:cs="Calibri"/>
          <w:color w:val="000000"/>
        </w:rPr>
        <w:t> </w:t>
      </w:r>
      <w:r>
        <w:rPr>
          <w:rFonts w:ascii="Marianne" w:hAnsi="Marianne"/>
          <w:color w:val="000000"/>
        </w:rPr>
        <w:t>début des travaux</w:t>
      </w:r>
      <w:r>
        <w:rPr>
          <w:rFonts w:ascii="Calibri" w:hAnsi="Calibri" w:cs="Calibri"/>
          <w:color w:val="000000"/>
        </w:rPr>
        <w:t> </w:t>
      </w:r>
      <w:r>
        <w:rPr>
          <w:rFonts w:ascii="Marianne" w:hAnsi="Marianne"/>
          <w:color w:val="000000"/>
        </w:rPr>
        <w:t>» comme «</w:t>
      </w:r>
      <w:r>
        <w:rPr>
          <w:rFonts w:ascii="Calibri" w:hAnsi="Calibri" w:cs="Calibri"/>
          <w:color w:val="000000"/>
        </w:rPr>
        <w:t> </w:t>
      </w:r>
      <w:r>
        <w:rPr>
          <w:rFonts w:ascii="Marianne" w:hAnsi="Marianne"/>
          <w:color w:val="000000"/>
        </w:rPr>
        <w:t>soit le début des travaux de construction liés à l'investissement, soit le premier engagement juridiquement contraignant de commande d'équipement ou tout autre engagement rendant l'investissement irré</w:t>
      </w:r>
      <w:r>
        <w:rPr>
          <w:rFonts w:ascii="Marianne" w:hAnsi="Marianne"/>
          <w:color w:val="000000"/>
        </w:rPr>
        <w:softHyphen/>
        <w:t>versible, selon l'événement qui se produit en premier »</w:t>
      </w:r>
    </w:p>
    <w:p w14:paraId="19E143F0"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Ainsi, ne sera éligible à cet AAP qu’un projet pour lequel aucun engagement juridiquement contraignant n’aura été pris dans le périmètre du projet avant la date de dépôt du dossier de candidature considéré comme complet par l’ADEME</w:t>
      </w:r>
    </w:p>
    <w:p w14:paraId="71F820AE" w14:textId="77777777" w:rsidR="00661A24" w:rsidRDefault="00661A24">
      <w:pPr>
        <w:pBdr>
          <w:top w:val="nil"/>
          <w:left w:val="nil"/>
          <w:bottom w:val="nil"/>
          <w:right w:val="nil"/>
          <w:between w:val="nil"/>
        </w:pBdr>
        <w:spacing w:before="120" w:after="0"/>
        <w:rPr>
          <w:rFonts w:ascii="Marianne" w:hAnsi="Marianne"/>
          <w:color w:val="000000"/>
        </w:rPr>
      </w:pPr>
    </w:p>
    <w:p w14:paraId="570AB2E3"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3" w:name="_Toc140092165"/>
      <w:r>
        <w:rPr>
          <w:rFonts w:ascii="Marianne" w:hAnsi="Marianne"/>
          <w:b/>
          <w:bCs/>
          <w:color w:val="000000"/>
        </w:rPr>
        <w:t>Pré-dépôt et dépôt</w:t>
      </w:r>
      <w:bookmarkEnd w:id="41"/>
      <w:bookmarkEnd w:id="42"/>
      <w:bookmarkEnd w:id="43"/>
    </w:p>
    <w:p w14:paraId="507D9C16" w14:textId="77777777" w:rsidR="00661A24" w:rsidRDefault="00AD6DC1">
      <w:pPr>
        <w:pStyle w:val="Titre3"/>
        <w:rPr>
          <w:rFonts w:ascii="Marianne" w:hAnsi="Marianne" w:cs="Arial"/>
          <w:smallCaps/>
          <w:color w:val="000000"/>
          <w:sz w:val="22"/>
        </w:rPr>
      </w:pPr>
      <w:r>
        <w:rPr>
          <w:rFonts w:ascii="Marianne" w:hAnsi="Marianne" w:cs="Arial"/>
          <w:smallCaps/>
          <w:color w:val="000000"/>
          <w:sz w:val="22"/>
        </w:rPr>
        <w:t>Réunion de pré-dépôt</w:t>
      </w:r>
    </w:p>
    <w:p w14:paraId="7DD9C7DD" w14:textId="77777777" w:rsidR="00661A24" w:rsidRDefault="00AD6DC1">
      <w:pPr>
        <w:spacing w:before="120" w:after="120"/>
        <w:rPr>
          <w:rFonts w:ascii="Marianne" w:hAnsi="Marianne"/>
        </w:rPr>
      </w:pPr>
      <w:r>
        <w:rPr>
          <w:rFonts w:ascii="Marianne" w:hAnsi="Marianne"/>
        </w:rPr>
        <w:t>Cette étape nécessaire pour envisager un dépôt, a vocation à orienter et à conseiller le porteur de projet sur les points suivants :</w:t>
      </w:r>
    </w:p>
    <w:p w14:paraId="26D55B41"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Cs/>
          <w:color w:val="000000"/>
        </w:rPr>
        <w:t>Adéquation du projet avec les attendus du cahier des charges</w:t>
      </w:r>
    </w:p>
    <w:p w14:paraId="621A8ABA"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Cs/>
          <w:color w:val="000000"/>
        </w:rPr>
        <w:t>Etat de l’art en matière d’innovation vis-à-vis du projet proposé</w:t>
      </w:r>
    </w:p>
    <w:p w14:paraId="2F48F1AA"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Cs/>
          <w:color w:val="000000"/>
        </w:rPr>
        <w:t xml:space="preserve">Caractère impactant et transformant du projet proposé dans le domaine de la transition écologique et du développement de l’économie Française </w:t>
      </w:r>
    </w:p>
    <w:p w14:paraId="1C6BD669" w14:textId="77777777" w:rsidR="00661A24" w:rsidRDefault="00661A24">
      <w:pPr>
        <w:spacing w:before="120" w:after="120"/>
        <w:ind w:left="720"/>
        <w:contextualSpacing/>
        <w:rPr>
          <w:rFonts w:ascii="Marianne" w:hAnsi="Marianne"/>
        </w:rPr>
      </w:pPr>
    </w:p>
    <w:p w14:paraId="700D30D7" w14:textId="77777777" w:rsidR="00661A24" w:rsidRDefault="00AD6DC1">
      <w:pPr>
        <w:spacing w:before="120" w:after="120"/>
        <w:contextualSpacing/>
        <w:rPr>
          <w:rFonts w:ascii="Marianne" w:hAnsi="Marianne"/>
        </w:rPr>
      </w:pPr>
      <w:r>
        <w:rPr>
          <w:rFonts w:ascii="Marianne" w:hAnsi="Marianne"/>
        </w:rPr>
        <w:t>La réunion de pré-dépôt consiste en une présentation par le porteur du projet proposé. Cette présentation doit s’appuyer sur un diaporama au format PowerPoint (voir Annexe 2, disponible sur la page internet de l’AAP) et doit se dérouler 1 mois au minimum avant le dépôt d’un dossier.</w:t>
      </w:r>
    </w:p>
    <w:p w14:paraId="451798DF" w14:textId="77777777" w:rsidR="00661A24" w:rsidRDefault="00661A24">
      <w:pPr>
        <w:spacing w:before="120" w:after="120"/>
        <w:contextualSpacing/>
        <w:rPr>
          <w:rFonts w:ascii="Marianne" w:hAnsi="Marianne"/>
        </w:rPr>
      </w:pPr>
    </w:p>
    <w:p w14:paraId="35508B17" w14:textId="77777777" w:rsidR="00661A24" w:rsidRDefault="00AD6DC1">
      <w:pPr>
        <w:spacing w:before="120" w:after="120"/>
        <w:rPr>
          <w:rFonts w:ascii="Marianne" w:hAnsi="Marianne"/>
          <w:b/>
          <w:color w:val="0000FF"/>
        </w:rPr>
      </w:pPr>
      <w:r>
        <w:rPr>
          <w:rFonts w:ascii="Marianne" w:hAnsi="Marianne"/>
        </w:rPr>
        <w:t>Le porteur doit contacter l’ADEME pour organiser une réunion de pré-dépôt, à l’adresse suivante</w:t>
      </w:r>
      <w:r>
        <w:rPr>
          <w:rFonts w:ascii="Calibri" w:hAnsi="Calibri" w:cs="Calibri"/>
        </w:rPr>
        <w:t> </w:t>
      </w:r>
      <w:r>
        <w:rPr>
          <w:rFonts w:ascii="Marianne" w:hAnsi="Marianne"/>
        </w:rPr>
        <w:t xml:space="preserve">: </w:t>
      </w:r>
      <w:r>
        <w:rPr>
          <w:rStyle w:val="Lienhypertexte"/>
          <w:rFonts w:ascii="Marianne" w:hAnsi="Marianne"/>
          <w:b/>
        </w:rPr>
        <w:t>aap.innov-eau</w:t>
      </w:r>
      <w:hyperlink r:id="rId14" w:history="1">
        <w:r>
          <w:rPr>
            <w:rStyle w:val="Lienhypertexte"/>
            <w:rFonts w:ascii="Marianne" w:hAnsi="Marianne"/>
            <w:b/>
          </w:rPr>
          <w:t>@ademe.fr</w:t>
        </w:r>
      </w:hyperlink>
      <w:r>
        <w:rPr>
          <w:rFonts w:ascii="Marianne" w:hAnsi="Marianne"/>
        </w:rPr>
        <w:t>. Idéalement, l’annexe 2 devrait être transmise lors de cette demande.</w:t>
      </w:r>
    </w:p>
    <w:p w14:paraId="6DF4B04B" w14:textId="77777777" w:rsidR="00661A24" w:rsidRDefault="00AD6DC1">
      <w:pPr>
        <w:pStyle w:val="Titre3"/>
        <w:spacing w:before="240"/>
        <w:rPr>
          <w:rFonts w:ascii="Marianne" w:hAnsi="Marianne" w:cs="Arial"/>
          <w:smallCaps/>
          <w:color w:val="000000"/>
          <w:sz w:val="22"/>
        </w:rPr>
      </w:pPr>
      <w:bookmarkStart w:id="44" w:name="_Toc10651063"/>
      <w:bookmarkStart w:id="45" w:name="_Toc10650976"/>
      <w:bookmarkStart w:id="46" w:name="_Toc10647588"/>
      <w:r>
        <w:rPr>
          <w:rFonts w:ascii="Marianne" w:hAnsi="Marianne" w:cs="Arial"/>
          <w:smallCaps/>
          <w:color w:val="000000"/>
          <w:sz w:val="22"/>
        </w:rPr>
        <w:lastRenderedPageBreak/>
        <w:t>Dépôt</w:t>
      </w:r>
      <w:bookmarkEnd w:id="44"/>
      <w:bookmarkEnd w:id="45"/>
      <w:bookmarkEnd w:id="46"/>
      <w:r>
        <w:rPr>
          <w:rFonts w:ascii="Marianne" w:hAnsi="Marianne" w:cs="Arial"/>
          <w:smallCaps/>
          <w:color w:val="000000"/>
          <w:sz w:val="22"/>
        </w:rPr>
        <w:t xml:space="preserve"> </w:t>
      </w:r>
    </w:p>
    <w:p w14:paraId="5F1C1D43" w14:textId="77777777" w:rsidR="00661A24" w:rsidRDefault="00AD6DC1">
      <w:pPr>
        <w:spacing w:before="120" w:after="120"/>
        <w:jc w:val="left"/>
        <w:rPr>
          <w:rFonts w:ascii="Marianne" w:hAnsi="Marianne"/>
          <w:color w:val="000000"/>
        </w:rPr>
      </w:pPr>
      <w:r>
        <w:rPr>
          <w:rFonts w:ascii="Marianne" w:hAnsi="Marianne"/>
          <w:color w:val="000000"/>
        </w:rPr>
        <w:t>Les projets doivent être adressés sous forme électronique via la plateforme de l’ADEME :</w:t>
      </w:r>
    </w:p>
    <w:p w14:paraId="549B8275" w14:textId="77777777" w:rsidR="00661A24" w:rsidRDefault="00D95334">
      <w:pPr>
        <w:spacing w:before="120" w:after="180"/>
        <w:jc w:val="center"/>
        <w:rPr>
          <w:rFonts w:ascii="Marianne" w:hAnsi="Marianne"/>
        </w:rPr>
      </w:pPr>
      <w:hyperlink r:id="rId15" w:history="1">
        <w:r w:rsidR="00AD6DC1">
          <w:rPr>
            <w:rFonts w:ascii="Marianne" w:hAnsi="Marianne"/>
            <w:color w:val="0000FF" w:themeColor="hyperlink"/>
            <w:u w:val="single"/>
          </w:rPr>
          <w:t>https://agirpourlatransition.ademe.fr/</w:t>
        </w:r>
      </w:hyperlink>
      <w:r w:rsidR="00AD6DC1">
        <w:rPr>
          <w:rFonts w:ascii="Marianne" w:hAnsi="Marianne"/>
        </w:rPr>
        <w:t xml:space="preserve"> </w:t>
      </w:r>
    </w:p>
    <w:p w14:paraId="6CE8AAA7" w14:textId="77777777" w:rsidR="00661A24" w:rsidRDefault="00AD6DC1">
      <w:pPr>
        <w:spacing w:before="120" w:after="180"/>
        <w:rPr>
          <w:rFonts w:ascii="Marianne" w:hAnsi="Marianne"/>
        </w:rPr>
      </w:pPr>
      <w:r>
        <w:rPr>
          <w:rFonts w:ascii="Marianne" w:hAnsi="Marianne"/>
        </w:rPr>
        <w:t xml:space="preserve">Attention, en cas de projet collaboratif, seul le coordonnateur du projet est habilité à déposer le dossier sur la plateforme. Cependant, le dépôt engendre une demande de validation adressée à tous les partenaires via un mail généré à partir de la plateforme. </w:t>
      </w:r>
      <w:r>
        <w:rPr>
          <w:rFonts w:ascii="Marianne" w:hAnsi="Marianne"/>
          <w:b/>
        </w:rPr>
        <w:t>Merci de bien prendre en compte ce délai de validation pour le dépôt du dossier avant la clôture intermédiaire de l’AAP.</w:t>
      </w:r>
    </w:p>
    <w:p w14:paraId="34E7B4F1" w14:textId="77777777" w:rsidR="00661A24" w:rsidRDefault="00AD6DC1">
      <w:pPr>
        <w:pStyle w:val="Titre3"/>
        <w:spacing w:before="240"/>
        <w:rPr>
          <w:rFonts w:ascii="Marianne" w:hAnsi="Marianne" w:cs="Arial"/>
          <w:smallCaps/>
          <w:color w:val="000000"/>
          <w:sz w:val="22"/>
        </w:rPr>
      </w:pPr>
      <w:r>
        <w:rPr>
          <w:rFonts w:ascii="Marianne" w:hAnsi="Marianne" w:cs="Arial"/>
          <w:smallCaps/>
          <w:color w:val="000000"/>
          <w:sz w:val="22"/>
        </w:rPr>
        <w:t>Confidentialité</w:t>
      </w:r>
    </w:p>
    <w:p w14:paraId="38154729" w14:textId="77777777" w:rsidR="00661A24" w:rsidRDefault="00AD6DC1">
      <w:pPr>
        <w:spacing w:before="120" w:after="120"/>
        <w:rPr>
          <w:rFonts w:ascii="Marianne" w:hAnsi="Marianne"/>
        </w:rPr>
      </w:pPr>
      <w:r>
        <w:rPr>
          <w:rFonts w:ascii="Marianne" w:hAnsi="Marianne"/>
          <w:b/>
        </w:rPr>
        <w:t>L’ADEME garantit que les documents transmis dans le cadre de cet AAP sont soumis à la plus stricte confidentialité</w:t>
      </w:r>
      <w:r>
        <w:rPr>
          <w:rFonts w:ascii="Marianne" w:hAnsi="Marianne"/>
        </w:rPr>
        <w:t xml:space="preserve"> et ne sont communiqués que dans le cadre restreint de l’expertise et de la gouvernance de France 2030.</w:t>
      </w:r>
    </w:p>
    <w:p w14:paraId="2357BFEC"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7" w:name="_Toc88472400"/>
      <w:bookmarkStart w:id="48" w:name="_Toc140092166"/>
      <w:r>
        <w:rPr>
          <w:rFonts w:ascii="Marianne" w:hAnsi="Marianne"/>
          <w:b/>
          <w:bCs/>
          <w:color w:val="000000"/>
        </w:rPr>
        <w:t>Processus de sélection</w:t>
      </w:r>
      <w:bookmarkEnd w:id="47"/>
      <w:r>
        <w:rPr>
          <w:rFonts w:ascii="Marianne" w:hAnsi="Marianne"/>
          <w:b/>
          <w:bCs/>
          <w:color w:val="000000"/>
        </w:rPr>
        <w:t xml:space="preserve"> et d’instruction</w:t>
      </w:r>
      <w:bookmarkEnd w:id="48"/>
    </w:p>
    <w:p w14:paraId="786A73E8" w14:textId="77777777" w:rsidR="00661A24" w:rsidRDefault="00AD6DC1">
      <w:pPr>
        <w:pStyle w:val="Normal11"/>
        <w:spacing w:before="120" w:after="120"/>
        <w:jc w:val="both"/>
        <w:rPr>
          <w:rFonts w:ascii="Marianne" w:eastAsia="Arial" w:hAnsi="Marianne"/>
          <w:color w:val="auto"/>
          <w:sz w:val="22"/>
          <w:szCs w:val="22"/>
          <w:lang w:eastAsia="fr-FR" w:bidi="ar-SA"/>
        </w:rPr>
      </w:pPr>
      <w:r>
        <w:rPr>
          <w:rFonts w:ascii="Marianne" w:eastAsia="Arial" w:hAnsi="Marianne"/>
          <w:color w:val="auto"/>
          <w:sz w:val="22"/>
          <w:szCs w:val="22"/>
          <w:lang w:eastAsia="fr-FR" w:bidi="ar-SA"/>
        </w:rPr>
        <w:t xml:space="preserve">A la suite d’une relève, l’ADEME conduit une première analyse d’éligibilité. </w:t>
      </w:r>
    </w:p>
    <w:p w14:paraId="26ED8DCF" w14:textId="77777777" w:rsidR="00661A24" w:rsidRDefault="00AD6DC1">
      <w:pPr>
        <w:pStyle w:val="Normal11"/>
        <w:spacing w:before="120" w:after="120"/>
        <w:jc w:val="both"/>
        <w:rPr>
          <w:rFonts w:ascii="Marianne" w:eastAsia="Arial" w:hAnsi="Marianne"/>
          <w:color w:val="auto"/>
          <w:sz w:val="22"/>
          <w:szCs w:val="22"/>
          <w:lang w:eastAsia="fr-FR" w:bidi="ar-SA"/>
        </w:rPr>
      </w:pPr>
      <w:r>
        <w:rPr>
          <w:rFonts w:ascii="Marianne" w:eastAsia="Arial" w:hAnsi="Marianne"/>
          <w:color w:val="auto"/>
          <w:sz w:val="22"/>
          <w:szCs w:val="22"/>
          <w:lang w:eastAsia="fr-FR" w:bidi="ar-SA"/>
        </w:rPr>
        <w:t xml:space="preserve">La procédure de sélection sera définie dans le cadre de la mise en œuvre du Plan d’investissement France 2030 et donnera lieu à une comitologie réunissant les représentants des ministères concernés. </w:t>
      </w:r>
    </w:p>
    <w:p w14:paraId="026601DD" w14:textId="77777777" w:rsidR="00661A24" w:rsidRDefault="00AD6DC1">
      <w:pPr>
        <w:spacing w:before="120" w:after="120"/>
        <w:contextualSpacing/>
        <w:rPr>
          <w:rFonts w:ascii="Marianne" w:hAnsi="Marianne"/>
          <w:b/>
          <w:color w:val="000000"/>
        </w:rPr>
      </w:pPr>
      <w:r>
        <w:rPr>
          <w:rFonts w:ascii="Marianne" w:hAnsi="Marianne"/>
          <w:color w:val="000000"/>
        </w:rPr>
        <w:t>L</w:t>
      </w:r>
      <w:r>
        <w:rPr>
          <w:rFonts w:ascii="Marianne" w:hAnsi="Marianne"/>
        </w:rPr>
        <w:t>es entreprises du projet doivent être éligibles à des aides d’Etat, et notamment ne pas être qualifiées « d’entreprise en difficulté », au sens de la règlementation européenne.</w:t>
      </w:r>
    </w:p>
    <w:p w14:paraId="1E622F96" w14:textId="77777777" w:rsidR="00661A24" w:rsidRDefault="00661A24">
      <w:pPr>
        <w:spacing w:before="120" w:after="120"/>
        <w:contextualSpacing/>
        <w:rPr>
          <w:rFonts w:ascii="Marianne" w:hAnsi="Marianne"/>
          <w:b/>
          <w:color w:val="000000"/>
        </w:rPr>
      </w:pPr>
    </w:p>
    <w:p w14:paraId="37C85F18" w14:textId="77777777" w:rsidR="00661A24" w:rsidRDefault="00AD6DC1">
      <w:pPr>
        <w:spacing w:before="120" w:after="120"/>
        <w:rPr>
          <w:rFonts w:ascii="Marianne" w:hAnsi="Marianne"/>
        </w:rPr>
      </w:pPr>
      <w:r>
        <w:rPr>
          <w:rFonts w:ascii="Marianne" w:hAnsi="Marianne"/>
          <w:b/>
          <w:color w:val="000000"/>
        </w:rPr>
        <w:t>En cas de non-sélection ou d’avis défavorable au financement du projet, le porteur est prévenu par l’ADEME.</w:t>
      </w:r>
    </w:p>
    <w:p w14:paraId="1CF4DEC8"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9" w:name="_Toc10712177"/>
      <w:bookmarkStart w:id="50" w:name="_Toc74823236"/>
      <w:bookmarkStart w:id="51" w:name="_Toc75875332"/>
      <w:bookmarkStart w:id="52" w:name="_Toc140092167"/>
      <w:r>
        <w:rPr>
          <w:rFonts w:ascii="Marianne" w:hAnsi="Marianne"/>
          <w:b/>
          <w:bCs/>
          <w:color w:val="000000"/>
        </w:rPr>
        <w:t>Contractualisation</w:t>
      </w:r>
      <w:bookmarkEnd w:id="49"/>
      <w:bookmarkEnd w:id="50"/>
      <w:bookmarkEnd w:id="51"/>
      <w:bookmarkEnd w:id="52"/>
    </w:p>
    <w:p w14:paraId="791367EF" w14:textId="77777777" w:rsidR="00661A24" w:rsidRDefault="00AD6DC1">
      <w:pPr>
        <w:pStyle w:val="Titre3"/>
        <w:rPr>
          <w:rFonts w:ascii="Marianne" w:hAnsi="Marianne" w:cs="Arial"/>
          <w:smallCaps/>
          <w:color w:val="000000"/>
          <w:sz w:val="22"/>
        </w:rPr>
      </w:pPr>
      <w:r>
        <w:rPr>
          <w:rFonts w:ascii="Marianne" w:hAnsi="Marianne" w:cs="Arial"/>
          <w:smallCaps/>
          <w:color w:val="000000"/>
          <w:sz w:val="22"/>
        </w:rPr>
        <w:t>Convention</w:t>
      </w:r>
    </w:p>
    <w:p w14:paraId="78872E63" w14:textId="77777777" w:rsidR="00661A24" w:rsidRDefault="00AD6DC1">
      <w:pPr>
        <w:spacing w:before="120" w:after="120"/>
        <w:rPr>
          <w:rFonts w:ascii="Marianne" w:hAnsi="Marianne"/>
        </w:rPr>
      </w:pPr>
      <w:r>
        <w:rPr>
          <w:rFonts w:ascii="Marianne" w:hAnsi="Marianne"/>
        </w:rPr>
        <w:t>En cas de projet collaboratif, l’ADEME contractualise avec chacun des partenaires du projet bénéficiant d’une aide ; la convention est établie entre l’ADEME et chaque entité juridique (déterminée par le numéro de SIRET du bénéficiaire) qui réalise les dépenses du projet.</w:t>
      </w:r>
    </w:p>
    <w:p w14:paraId="750B81D3" w14:textId="77777777" w:rsidR="00661A24" w:rsidRDefault="00661A24">
      <w:pPr>
        <w:spacing w:before="120" w:after="120"/>
        <w:rPr>
          <w:rFonts w:ascii="Marianne" w:hAnsi="Marianne"/>
        </w:rPr>
      </w:pPr>
    </w:p>
    <w:p w14:paraId="55807137" w14:textId="77777777" w:rsidR="00661A24" w:rsidRDefault="00AD6DC1">
      <w:pPr>
        <w:pStyle w:val="Titre3"/>
        <w:rPr>
          <w:rFonts w:ascii="Marianne" w:hAnsi="Marianne" w:cs="Arial"/>
          <w:smallCaps/>
          <w:color w:val="000000"/>
          <w:sz w:val="22"/>
        </w:rPr>
      </w:pPr>
      <w:r>
        <w:rPr>
          <w:rFonts w:ascii="Marianne" w:hAnsi="Marianne" w:cs="Arial"/>
          <w:smallCaps/>
          <w:color w:val="000000"/>
          <w:sz w:val="22"/>
        </w:rPr>
        <w:t>Versement des aides</w:t>
      </w:r>
    </w:p>
    <w:p w14:paraId="3B8424AC" w14:textId="77777777" w:rsidR="00661A24" w:rsidRDefault="00AD6DC1">
      <w:pPr>
        <w:spacing w:before="120" w:after="180"/>
        <w:rPr>
          <w:rFonts w:ascii="Marianne" w:hAnsi="Marianne"/>
        </w:rPr>
      </w:pPr>
      <w:r>
        <w:rPr>
          <w:rFonts w:ascii="Marianne" w:hAnsi="Marianne"/>
          <w:b/>
        </w:rPr>
        <w:t>Le 1</w:t>
      </w:r>
      <w:r>
        <w:rPr>
          <w:rFonts w:ascii="Marianne" w:hAnsi="Marianne"/>
          <w:b/>
          <w:vertAlign w:val="superscript"/>
        </w:rPr>
        <w:t>er</w:t>
      </w:r>
      <w:r>
        <w:rPr>
          <w:rFonts w:ascii="Marianne" w:hAnsi="Marianne"/>
          <w:b/>
        </w:rPr>
        <w:t xml:space="preserve"> versement de l’aide intervient, dans le cas général, après la réception par l’ADEME des conventions signées de l’ensemble des partenaires du projet bénéficiant d’une aide</w:t>
      </w:r>
      <w:r>
        <w:rPr>
          <w:rFonts w:ascii="Marianne" w:hAnsi="Marianne"/>
        </w:rPr>
        <w:t>. La répartition des versements de l’aide par l’ADEME est la suivante, dans le cas général :</w:t>
      </w:r>
    </w:p>
    <w:p w14:paraId="577F9E38" w14:textId="77777777" w:rsidR="00661A24" w:rsidRDefault="00AD6DC1">
      <w:pPr>
        <w:numPr>
          <w:ilvl w:val="0"/>
          <w:numId w:val="5"/>
        </w:numPr>
        <w:spacing w:before="120" w:after="120"/>
        <w:contextualSpacing/>
        <w:rPr>
          <w:rFonts w:ascii="Marianne" w:hAnsi="Marianne"/>
        </w:rPr>
      </w:pPr>
      <w:r>
        <w:rPr>
          <w:rFonts w:ascii="Marianne" w:hAnsi="Marianne"/>
        </w:rPr>
        <w:t>Le versement d’une avance à notification d’un montant maximum de 15% du montant de l’aide octroyée ;</w:t>
      </w:r>
    </w:p>
    <w:p w14:paraId="55E5ABF9" w14:textId="77777777" w:rsidR="00661A24" w:rsidRDefault="00AD6DC1">
      <w:pPr>
        <w:numPr>
          <w:ilvl w:val="0"/>
          <w:numId w:val="5"/>
        </w:numPr>
        <w:spacing w:before="120" w:after="120"/>
        <w:contextualSpacing/>
        <w:rPr>
          <w:rFonts w:ascii="Marianne" w:hAnsi="Marianne"/>
        </w:rPr>
      </w:pPr>
      <w:r>
        <w:rPr>
          <w:rFonts w:ascii="Marianne" w:hAnsi="Marianne"/>
        </w:rPr>
        <w:lastRenderedPageBreak/>
        <w:t>Le cas échéant, un ou plusieurs versements intermédiaires au cours du projet ;</w:t>
      </w:r>
    </w:p>
    <w:p w14:paraId="6703634B" w14:textId="77777777" w:rsidR="00661A24" w:rsidRDefault="00AD6DC1">
      <w:pPr>
        <w:numPr>
          <w:ilvl w:val="0"/>
          <w:numId w:val="5"/>
        </w:numPr>
        <w:spacing w:before="120" w:after="120"/>
        <w:contextualSpacing/>
        <w:rPr>
          <w:rFonts w:ascii="Marianne" w:hAnsi="Marianne"/>
        </w:rPr>
      </w:pPr>
      <w:r>
        <w:rPr>
          <w:rFonts w:ascii="Marianne" w:hAnsi="Marianne"/>
        </w:rPr>
        <w:t>Le cas échéant, le versement d’un solde représentant 20% minimum de l’aide.</w:t>
      </w:r>
    </w:p>
    <w:p w14:paraId="08052D69" w14:textId="77777777" w:rsidR="00661A24" w:rsidRDefault="00AD6DC1">
      <w:pPr>
        <w:spacing w:before="120" w:after="180"/>
        <w:rPr>
          <w:rFonts w:ascii="Marianne" w:hAnsi="Marianne"/>
        </w:rPr>
      </w:pPr>
      <w:r>
        <w:rPr>
          <w:rFonts w:ascii="Marianne" w:hAnsi="Marianne"/>
        </w:rPr>
        <w:t>Lorsque l’aide se compose d’une partie subvention et d’une autre partie avance remboursable, chaque versement respectera cette répartition, selon les mêmes proportions.</w:t>
      </w:r>
    </w:p>
    <w:p w14:paraId="49ABBD9B" w14:textId="77777777" w:rsidR="00661A24" w:rsidRDefault="00AD6DC1">
      <w:pPr>
        <w:pStyle w:val="Normal11"/>
        <w:jc w:val="both"/>
        <w:rPr>
          <w:rFonts w:ascii="Marianne" w:hAnsi="Marianne"/>
          <w:b/>
          <w:sz w:val="22"/>
        </w:rPr>
      </w:pPr>
      <w:r>
        <w:rPr>
          <w:rFonts w:ascii="Marianne" w:hAnsi="Marianne"/>
          <w:b/>
          <w:sz w:val="22"/>
        </w:rPr>
        <w:t>Dans le cas général, le montant des capitaux propres, aux dates des versements de l’aide, devra être supérieur ou égal au montant du cumul des aides versées.</w:t>
      </w:r>
    </w:p>
    <w:p w14:paraId="5C95C071" w14:textId="77777777" w:rsidR="00661A24" w:rsidRDefault="00661A24">
      <w:pPr>
        <w:pStyle w:val="Normal11"/>
        <w:jc w:val="both"/>
        <w:rPr>
          <w:rFonts w:ascii="Marianne" w:hAnsi="Marianne"/>
          <w:b/>
          <w:sz w:val="22"/>
        </w:rPr>
      </w:pPr>
    </w:p>
    <w:p w14:paraId="7804A6C8" w14:textId="77777777" w:rsidR="00661A24" w:rsidRDefault="00AD6DC1">
      <w:pPr>
        <w:pStyle w:val="Titre3"/>
        <w:rPr>
          <w:rFonts w:ascii="Marianne" w:hAnsi="Marianne"/>
          <w:smallCaps/>
          <w:color w:val="auto"/>
          <w:sz w:val="22"/>
        </w:rPr>
      </w:pPr>
      <w:r>
        <w:rPr>
          <w:rFonts w:ascii="Marianne" w:hAnsi="Marianne" w:cs="Arial"/>
          <w:smallCaps/>
          <w:color w:val="auto"/>
          <w:sz w:val="22"/>
        </w:rPr>
        <w:t>Communication</w:t>
      </w:r>
    </w:p>
    <w:p w14:paraId="657F50E6" w14:textId="77777777" w:rsidR="00661A24" w:rsidRDefault="00AD6DC1">
      <w:pPr>
        <w:spacing w:before="120" w:after="120"/>
        <w:rPr>
          <w:rFonts w:ascii="Marianne" w:hAnsi="Marianne"/>
        </w:rPr>
      </w:pPr>
      <w:r>
        <w:rPr>
          <w:rFonts w:ascii="Marianne" w:hAnsi="Marianne"/>
        </w:rPr>
        <w:t xml:space="preserve">Une fois le projet sélectionné, chaque bénéficiaire soutenu par France 2030 est tenu de mentionner ce soutien dans ses actions de communication, ou la publication des résultats du projet, avec la mention unique : « Ce projet a été soutenu par le Gouvernement dans le cadre du plan France 2030 opéré par l’ADEME », accompagnée du logo France 2030. </w:t>
      </w:r>
    </w:p>
    <w:p w14:paraId="604F6656" w14:textId="77777777" w:rsidR="00661A24" w:rsidRDefault="00AD6DC1">
      <w:pPr>
        <w:spacing w:before="120" w:after="120"/>
        <w:rPr>
          <w:rFonts w:ascii="Marianne" w:hAnsi="Marianne"/>
        </w:rPr>
      </w:pPr>
      <w:r>
        <w:rPr>
          <w:rFonts w:ascii="Marianne" w:hAnsi="Marianne"/>
        </w:rPr>
        <w:t>L’État se réserve le droit de communiquer sur les objectifs généraux de l’action, ses enjeux et ses résultats, le cas échéant à base d’exemples anonymisés et dans le respect du secret des affaires. Toute autre communication est soumise à l’accord préalable du bénéficiaire.</w:t>
      </w:r>
    </w:p>
    <w:p w14:paraId="6115E8D3" w14:textId="77777777" w:rsidR="00661A24" w:rsidRDefault="00661A24">
      <w:pPr>
        <w:pStyle w:val="Normal11"/>
        <w:jc w:val="both"/>
        <w:rPr>
          <w:rFonts w:ascii="Marianne" w:hAnsi="Marianne"/>
          <w:b/>
          <w:sz w:val="22"/>
        </w:rPr>
        <w:sectPr w:rsidR="00661A24">
          <w:headerReference w:type="even" r:id="rId16"/>
          <w:headerReference w:type="default" r:id="rId17"/>
          <w:headerReference w:type="first" r:id="rId18"/>
          <w:footerReference w:type="first" r:id="rId19"/>
          <w:pgSz w:w="11906" w:h="16838"/>
          <w:pgMar w:top="1134" w:right="1418" w:bottom="1134" w:left="1418" w:header="567" w:footer="141" w:gutter="0"/>
          <w:cols w:space="720"/>
          <w:titlePg/>
          <w:docGrid w:linePitch="299"/>
        </w:sectPr>
      </w:pPr>
    </w:p>
    <w:p w14:paraId="2091E2F6" w14:textId="77777777" w:rsidR="00661A24" w:rsidRDefault="00AD6DC1">
      <w:pPr>
        <w:pStyle w:val="Titre1"/>
        <w:spacing w:line="240" w:lineRule="auto"/>
        <w:ind w:left="567" w:hanging="567"/>
        <w:rPr>
          <w:rFonts w:ascii="Marianne" w:hAnsi="Marianne"/>
          <w:color w:val="002060"/>
        </w:rPr>
      </w:pPr>
      <w:bookmarkStart w:id="53" w:name="_Toc10712178"/>
      <w:bookmarkStart w:id="54" w:name="_Toc74823237"/>
      <w:bookmarkStart w:id="55" w:name="_Toc75875333"/>
      <w:bookmarkStart w:id="56" w:name="_Toc140092168"/>
      <w:r>
        <w:rPr>
          <w:rFonts w:ascii="Marianne" w:hAnsi="Marianne"/>
          <w:color w:val="002060"/>
        </w:rPr>
        <w:lastRenderedPageBreak/>
        <w:t>Critères de sélection</w:t>
      </w:r>
      <w:bookmarkEnd w:id="53"/>
      <w:bookmarkEnd w:id="54"/>
      <w:bookmarkEnd w:id="55"/>
      <w:bookmarkEnd w:id="56"/>
    </w:p>
    <w:p w14:paraId="17BCB7F5" w14:textId="77777777" w:rsidR="00661A24" w:rsidRDefault="00AD6DC1">
      <w:pPr>
        <w:spacing w:after="120"/>
        <w:rPr>
          <w:rFonts w:ascii="Marianne" w:hAnsi="Marianne"/>
        </w:rPr>
      </w:pPr>
      <w:r>
        <w:rPr>
          <w:rFonts w:ascii="Marianne" w:hAnsi="Marianne"/>
        </w:rPr>
        <w:t xml:space="preserve">Une attention particulière sera apportée aux </w:t>
      </w:r>
      <w:r>
        <w:rPr>
          <w:rFonts w:ascii="Marianne" w:hAnsi="Marianne"/>
          <w:b/>
          <w:bCs/>
        </w:rPr>
        <w:t>projets structurants intégrant</w:t>
      </w:r>
      <w:r>
        <w:rPr>
          <w:rFonts w:ascii="Marianne" w:hAnsi="Marianne"/>
          <w:bCs/>
        </w:rPr>
        <w:t xml:space="preserve"> </w:t>
      </w:r>
      <w:r>
        <w:rPr>
          <w:rFonts w:ascii="Marianne" w:hAnsi="Marianne"/>
        </w:rPr>
        <w:t xml:space="preserve">: </w:t>
      </w:r>
    </w:p>
    <w:p w14:paraId="3DE9FB82" w14:textId="77777777" w:rsidR="00661A24" w:rsidRDefault="00AD6DC1">
      <w:pPr>
        <w:numPr>
          <w:ilvl w:val="0"/>
          <w:numId w:val="12"/>
        </w:numPr>
        <w:spacing w:after="120"/>
        <w:ind w:left="714" w:hanging="357"/>
        <w:rPr>
          <w:rFonts w:ascii="Marianne" w:hAnsi="Marianne"/>
        </w:rPr>
      </w:pPr>
      <w:r>
        <w:rPr>
          <w:rFonts w:ascii="Marianne" w:hAnsi="Marianne"/>
        </w:rPr>
        <w:t xml:space="preserve">Une </w:t>
      </w:r>
      <w:r>
        <w:rPr>
          <w:rFonts w:ascii="Marianne" w:hAnsi="Marianne"/>
          <w:b/>
        </w:rPr>
        <w:t xml:space="preserve">innovation, </w:t>
      </w:r>
      <w:r>
        <w:rPr>
          <w:rFonts w:ascii="Marianne" w:hAnsi="Marianne"/>
        </w:rPr>
        <w:t xml:space="preserve">au sens d’une </w:t>
      </w:r>
      <w:r>
        <w:rPr>
          <w:rFonts w:ascii="Marianne" w:hAnsi="Marianne"/>
          <w:b/>
        </w:rPr>
        <w:t>levée de verrou</w:t>
      </w:r>
      <w:r>
        <w:rPr>
          <w:rFonts w:ascii="Marianne" w:hAnsi="Marianne"/>
        </w:rPr>
        <w:t xml:space="preserve"> de nature technologique, économique, organisationnelle, systémique ou juridique – au regard de l’état de l’art et de la concurrence</w:t>
      </w:r>
      <w:r>
        <w:rPr>
          <w:rFonts w:ascii="Calibri" w:hAnsi="Calibri" w:cs="Calibri"/>
        </w:rPr>
        <w:t> </w:t>
      </w:r>
      <w:r>
        <w:rPr>
          <w:rFonts w:ascii="Marianne" w:hAnsi="Marianne"/>
        </w:rPr>
        <w:t>;</w:t>
      </w:r>
    </w:p>
    <w:p w14:paraId="54628B55" w14:textId="77777777" w:rsidR="00661A24" w:rsidRDefault="00AD6DC1">
      <w:pPr>
        <w:numPr>
          <w:ilvl w:val="0"/>
          <w:numId w:val="12"/>
        </w:numPr>
        <w:spacing w:after="160"/>
        <w:rPr>
          <w:rFonts w:ascii="Marianne" w:hAnsi="Marianne"/>
        </w:rPr>
      </w:pPr>
      <w:r>
        <w:rPr>
          <w:rFonts w:ascii="Marianne" w:hAnsi="Marianne"/>
        </w:rPr>
        <w:t>La démonstration d’une réponse aux priorités identifiées dans le présent appel à projets, en particulier les projets intégrant une démarche de sobriété et des solutions fondées sur la nature ;</w:t>
      </w:r>
    </w:p>
    <w:p w14:paraId="6388254D" w14:textId="77777777" w:rsidR="00661A24" w:rsidRDefault="00AD6DC1">
      <w:pPr>
        <w:pStyle w:val="Paragraphedeliste"/>
        <w:numPr>
          <w:ilvl w:val="0"/>
          <w:numId w:val="12"/>
        </w:numPr>
        <w:rPr>
          <w:rFonts w:ascii="Marianne" w:hAnsi="Marianne"/>
        </w:rPr>
      </w:pPr>
      <w:r>
        <w:rPr>
          <w:rFonts w:ascii="Marianne" w:hAnsi="Marianne"/>
        </w:rPr>
        <w:t>Une approche intégrée et optimisée sur tout le cycle de l’eau et sur les différents axes de l’AAP, ainsi qu’une plus-value démontrée pour la filière de l’eau, compte tenu des objectifs finaux de disponibilité de la ressource en quantité et en qualité suffisante</w:t>
      </w:r>
      <w:r>
        <w:rPr>
          <w:rFonts w:ascii="Calibri" w:hAnsi="Calibri" w:cs="Calibri"/>
        </w:rPr>
        <w:t> </w:t>
      </w:r>
      <w:r>
        <w:rPr>
          <w:rFonts w:ascii="Marianne" w:hAnsi="Marianne"/>
        </w:rPr>
        <w:t>;</w:t>
      </w:r>
    </w:p>
    <w:p w14:paraId="790BEA9D" w14:textId="77777777" w:rsidR="00661A24" w:rsidRDefault="00AD6DC1">
      <w:pPr>
        <w:numPr>
          <w:ilvl w:val="0"/>
          <w:numId w:val="12"/>
        </w:numPr>
        <w:spacing w:after="120"/>
        <w:ind w:left="714" w:hanging="357"/>
        <w:rPr>
          <w:rFonts w:ascii="Marianne" w:hAnsi="Marianne"/>
        </w:rPr>
      </w:pPr>
      <w:r>
        <w:rPr>
          <w:rFonts w:ascii="Marianne" w:eastAsia="Arial MT" w:hAnsi="Marianne" w:cstheme="minorBidi"/>
          <w:lang w:eastAsia="zh-CN"/>
        </w:rPr>
        <w:t>Une démarche de résilience et de continuité des services en cas d’événements climatiques extrêmes de plus en plus courants</w:t>
      </w:r>
    </w:p>
    <w:p w14:paraId="59347B99" w14:textId="77777777" w:rsidR="00661A24" w:rsidRDefault="00AD6DC1">
      <w:pPr>
        <w:numPr>
          <w:ilvl w:val="0"/>
          <w:numId w:val="12"/>
        </w:numPr>
        <w:spacing w:after="120"/>
        <w:ind w:left="714" w:hanging="357"/>
        <w:rPr>
          <w:rFonts w:ascii="Marianne" w:hAnsi="Marianne"/>
        </w:rPr>
      </w:pPr>
      <w:r>
        <w:rPr>
          <w:rFonts w:ascii="Marianne" w:hAnsi="Marianne"/>
        </w:rPr>
        <w:t xml:space="preserve">La démonstration de </w:t>
      </w:r>
      <w:r>
        <w:rPr>
          <w:rFonts w:ascii="Marianne" w:hAnsi="Marianne"/>
          <w:b/>
        </w:rPr>
        <w:t xml:space="preserve">nouvelles fonctionnalités et/ou des performances au moins équivalentes </w:t>
      </w:r>
      <w:r>
        <w:rPr>
          <w:rFonts w:ascii="Marianne" w:hAnsi="Marianne"/>
        </w:rPr>
        <w:t>à leurs homologues existantes</w:t>
      </w:r>
      <w:r>
        <w:rPr>
          <w:rFonts w:ascii="Calibri" w:hAnsi="Calibri" w:cs="Calibri"/>
        </w:rPr>
        <w:t> </w:t>
      </w:r>
      <w:r>
        <w:rPr>
          <w:rFonts w:ascii="Marianne" w:hAnsi="Marianne"/>
        </w:rPr>
        <w:t>;</w:t>
      </w:r>
    </w:p>
    <w:p w14:paraId="4D769272" w14:textId="77777777" w:rsidR="00661A24" w:rsidRDefault="00AD6DC1">
      <w:pPr>
        <w:numPr>
          <w:ilvl w:val="0"/>
          <w:numId w:val="12"/>
        </w:numPr>
        <w:spacing w:after="120"/>
        <w:ind w:left="714" w:hanging="357"/>
        <w:rPr>
          <w:rFonts w:ascii="Marianne" w:hAnsi="Marianne"/>
          <w:bCs/>
        </w:rPr>
      </w:pPr>
      <w:r>
        <w:rPr>
          <w:rFonts w:ascii="Marianne" w:hAnsi="Marianne"/>
          <w:bCs/>
        </w:rPr>
        <w:t>Une localisation sur le territoire national, en France métropolitaine ou dans les départements d’outre-mer, avec une inscription dans une logique territoriale</w:t>
      </w:r>
      <w:r>
        <w:rPr>
          <w:rFonts w:ascii="Calibri" w:hAnsi="Calibri" w:cs="Calibri"/>
          <w:bCs/>
        </w:rPr>
        <w:t> </w:t>
      </w:r>
      <w:r>
        <w:rPr>
          <w:rFonts w:ascii="Marianne" w:hAnsi="Marianne"/>
          <w:bCs/>
        </w:rPr>
        <w:t>;</w:t>
      </w:r>
    </w:p>
    <w:p w14:paraId="58DCEE8A" w14:textId="77777777" w:rsidR="00661A24" w:rsidRDefault="00AD6DC1">
      <w:pPr>
        <w:numPr>
          <w:ilvl w:val="0"/>
          <w:numId w:val="12"/>
        </w:numPr>
        <w:spacing w:after="120"/>
        <w:ind w:left="714" w:hanging="357"/>
        <w:rPr>
          <w:rFonts w:ascii="Marianne" w:hAnsi="Marianne"/>
          <w:bCs/>
        </w:rPr>
      </w:pPr>
      <w:r>
        <w:rPr>
          <w:rFonts w:ascii="Marianne" w:hAnsi="Marianne"/>
          <w:bCs/>
        </w:rPr>
        <w:t>Une forte complémentarité ou synergie avec les différents objectifs visés par les autres thèmes de l’AAP</w:t>
      </w:r>
      <w:r>
        <w:rPr>
          <w:rFonts w:ascii="Calibri" w:hAnsi="Calibri" w:cs="Calibri"/>
          <w:bCs/>
        </w:rPr>
        <w:t> </w:t>
      </w:r>
      <w:r>
        <w:rPr>
          <w:rFonts w:ascii="Marianne" w:hAnsi="Marianne"/>
          <w:bCs/>
        </w:rPr>
        <w:t>;</w:t>
      </w:r>
    </w:p>
    <w:p w14:paraId="2EB7F6C8" w14:textId="77777777" w:rsidR="00661A24" w:rsidRDefault="00AD6DC1">
      <w:pPr>
        <w:numPr>
          <w:ilvl w:val="0"/>
          <w:numId w:val="12"/>
        </w:numPr>
        <w:spacing w:after="160"/>
        <w:ind w:left="714" w:hanging="357"/>
        <w:rPr>
          <w:rFonts w:ascii="Marianne" w:hAnsi="Marianne"/>
        </w:rPr>
      </w:pPr>
      <w:r>
        <w:rPr>
          <w:rFonts w:ascii="Marianne" w:hAnsi="Marianne"/>
        </w:rPr>
        <w:t xml:space="preserve">La démonstration de la </w:t>
      </w:r>
      <w:r>
        <w:rPr>
          <w:rFonts w:ascii="Marianne" w:hAnsi="Marianne"/>
          <w:b/>
        </w:rPr>
        <w:t>plus-value environnementale</w:t>
      </w:r>
      <w:r>
        <w:rPr>
          <w:rFonts w:ascii="Marianne" w:hAnsi="Marianne"/>
        </w:rPr>
        <w:t xml:space="preserve"> avec intégration systématique d’une évaluation environnementale de type ACV dans le projet ainsi qu’une évaluation des risques climatiques physiques auxquels les projets sont exposés ; </w:t>
      </w:r>
    </w:p>
    <w:p w14:paraId="6283178B" w14:textId="77777777" w:rsidR="00661A24" w:rsidRDefault="00AD6DC1">
      <w:pPr>
        <w:numPr>
          <w:ilvl w:val="0"/>
          <w:numId w:val="12"/>
        </w:numPr>
        <w:spacing w:after="120"/>
        <w:ind w:left="714" w:hanging="357"/>
        <w:rPr>
          <w:rFonts w:ascii="Marianne" w:hAnsi="Marianne"/>
        </w:rPr>
      </w:pPr>
      <w:r>
        <w:rPr>
          <w:rFonts w:ascii="Marianne" w:hAnsi="Marianne"/>
        </w:rPr>
        <w:t xml:space="preserve">La prise en compte de </w:t>
      </w:r>
      <w:r>
        <w:rPr>
          <w:rFonts w:ascii="Marianne" w:hAnsi="Marianne"/>
          <w:b/>
        </w:rPr>
        <w:t>l’éco-conception</w:t>
      </w:r>
      <w:r>
        <w:rPr>
          <w:rFonts w:ascii="Marianne" w:hAnsi="Marianne"/>
        </w:rPr>
        <w:t xml:space="preserve"> dans le développement des solutions ;</w:t>
      </w:r>
    </w:p>
    <w:p w14:paraId="5A2B14DF" w14:textId="77777777" w:rsidR="00661A24" w:rsidRDefault="00AD6DC1">
      <w:pPr>
        <w:numPr>
          <w:ilvl w:val="0"/>
          <w:numId w:val="12"/>
        </w:numPr>
        <w:spacing w:after="120"/>
        <w:ind w:left="714" w:hanging="357"/>
        <w:rPr>
          <w:rFonts w:ascii="Marianne" w:hAnsi="Marianne"/>
        </w:rPr>
      </w:pPr>
      <w:r>
        <w:rPr>
          <w:rFonts w:ascii="Marianne" w:hAnsi="Marianne"/>
        </w:rPr>
        <w:t xml:space="preserve">Une stratégie de réponse à la </w:t>
      </w:r>
      <w:r>
        <w:rPr>
          <w:rFonts w:ascii="Marianne" w:hAnsi="Marianne"/>
          <w:b/>
        </w:rPr>
        <w:t>demande d’un marché</w:t>
      </w:r>
      <w:r>
        <w:rPr>
          <w:rFonts w:ascii="Marianne" w:hAnsi="Marianne"/>
        </w:rPr>
        <w:t>. Les marchés visés doivent être caractérisés et quantifiés et l‘accès à ceux-ci doit être explicité. Le niveau de maturité de la Solution doit permettre sa commercialisation ou son industrialisation à l’issue du projet ;</w:t>
      </w:r>
    </w:p>
    <w:p w14:paraId="41CCA600" w14:textId="77777777" w:rsidR="00661A24" w:rsidRDefault="00AD6DC1">
      <w:pPr>
        <w:numPr>
          <w:ilvl w:val="0"/>
          <w:numId w:val="12"/>
        </w:numPr>
        <w:spacing w:after="120"/>
        <w:ind w:left="714" w:hanging="357"/>
        <w:rPr>
          <w:rFonts w:ascii="Marianne" w:hAnsi="Marianne"/>
        </w:rPr>
      </w:pPr>
      <w:r>
        <w:rPr>
          <w:rFonts w:ascii="Marianne" w:hAnsi="Marianne"/>
        </w:rPr>
        <w:t xml:space="preserve">Une </w:t>
      </w:r>
      <w:r>
        <w:rPr>
          <w:rFonts w:ascii="Marianne" w:hAnsi="Marianne"/>
          <w:b/>
        </w:rPr>
        <w:t>réplicabilité sur des marchés de masse</w:t>
      </w:r>
      <w:r>
        <w:rPr>
          <w:rFonts w:ascii="Marianne" w:hAnsi="Marianne"/>
        </w:rPr>
        <w:t xml:space="preserve"> ou viser un marché de niche avec une plus-value environnementale particulièrement significative ;</w:t>
      </w:r>
    </w:p>
    <w:p w14:paraId="6309128F" w14:textId="77777777" w:rsidR="00661A24" w:rsidRDefault="00AD6DC1">
      <w:pPr>
        <w:pStyle w:val="Paragraphedeliste"/>
        <w:numPr>
          <w:ilvl w:val="0"/>
          <w:numId w:val="12"/>
        </w:numPr>
        <w:spacing w:after="120"/>
        <w:ind w:left="714"/>
        <w:rPr>
          <w:rFonts w:ascii="Marianne" w:hAnsi="Marianne"/>
        </w:rPr>
      </w:pPr>
      <w:r>
        <w:rPr>
          <w:rFonts w:ascii="Marianne" w:hAnsi="Marianne"/>
        </w:rPr>
        <w:t xml:space="preserve">Le portage par un acteur émergent : l’appel à projets vise en particulier à soutenir l’émergence de nouveaux acteurs aptes à devenir rapidement des compétiteurs agiles de niveau international. </w:t>
      </w:r>
      <w:r>
        <w:rPr>
          <w:rFonts w:ascii="Marianne" w:hAnsi="Marianne"/>
          <w:b/>
        </w:rPr>
        <w:t>A cette fin, les projets d’acteurs émergents seront examinés en priorité</w:t>
      </w:r>
      <w:r>
        <w:rPr>
          <w:rFonts w:ascii="Marianne" w:hAnsi="Marianne"/>
        </w:rPr>
        <w:t>.</w:t>
      </w:r>
    </w:p>
    <w:p w14:paraId="6E19D981" w14:textId="77777777" w:rsidR="00661A24" w:rsidRDefault="00AD6DC1">
      <w:pPr>
        <w:rPr>
          <w:rFonts w:ascii="Marianne" w:hAnsi="Marianne"/>
        </w:rPr>
      </w:pPr>
      <w:r>
        <w:rPr>
          <w:rFonts w:ascii="Marianne" w:hAnsi="Marianne"/>
        </w:rPr>
        <w:br w:type="page"/>
      </w:r>
    </w:p>
    <w:p w14:paraId="70BA16BB" w14:textId="77777777" w:rsidR="00661A24" w:rsidRDefault="00661A24">
      <w:pPr>
        <w:spacing w:after="120"/>
        <w:rPr>
          <w:rFonts w:ascii="Marianne" w:hAnsi="Marianne"/>
        </w:rPr>
        <w:sectPr w:rsidR="00661A24">
          <w:footerReference w:type="default" r:id="rId20"/>
          <w:footerReference w:type="first" r:id="rId21"/>
          <w:pgSz w:w="11906" w:h="16838"/>
          <w:pgMar w:top="1134" w:right="709" w:bottom="1134" w:left="1134" w:header="567" w:footer="141" w:gutter="0"/>
          <w:cols w:space="720"/>
          <w:titlePg/>
          <w:docGrid w:linePitch="299"/>
        </w:sectPr>
      </w:pPr>
    </w:p>
    <w:p w14:paraId="2E07014A" w14:textId="77777777" w:rsidR="00661A24" w:rsidRDefault="00661A24">
      <w:pPr>
        <w:spacing w:after="120"/>
        <w:rPr>
          <w:rFonts w:ascii="Marianne" w:hAnsi="Marianne"/>
        </w:rPr>
      </w:pPr>
    </w:p>
    <w:p w14:paraId="5DC94960" w14:textId="77777777" w:rsidR="00661A24" w:rsidRDefault="00AD6DC1">
      <w:pPr>
        <w:spacing w:after="120"/>
        <w:rPr>
          <w:rFonts w:ascii="Marianne" w:hAnsi="Marianne"/>
        </w:rPr>
      </w:pPr>
      <w:r>
        <w:rPr>
          <w:rFonts w:ascii="Marianne" w:hAnsi="Marianne"/>
        </w:rPr>
        <w:t>Les dossiers retenus pour instruction seront notamment évalués selon les critères ci-dessous.</w:t>
      </w:r>
    </w:p>
    <w:tbl>
      <w:tblPr>
        <w:tblW w:w="14884" w:type="dxa"/>
        <w:tblInd w:w="-14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702"/>
        <w:gridCol w:w="2268"/>
        <w:gridCol w:w="7087"/>
        <w:gridCol w:w="3827"/>
      </w:tblGrid>
      <w:tr w:rsidR="00661A24" w14:paraId="6B5F9CC6" w14:textId="77777777">
        <w:trPr>
          <w:trHeight w:val="567"/>
        </w:trPr>
        <w:tc>
          <w:tcPr>
            <w:tcW w:w="1702" w:type="dxa"/>
            <w:tcBorders>
              <w:top w:val="single" w:sz="4" w:space="0" w:color="auto"/>
              <w:left w:val="single" w:sz="4" w:space="0" w:color="auto"/>
              <w:bottom w:val="single" w:sz="4" w:space="0" w:color="auto"/>
            </w:tcBorders>
            <w:shd w:val="clear" w:color="auto" w:fill="D9D9D9"/>
            <w:vAlign w:val="center"/>
          </w:tcPr>
          <w:p w14:paraId="0E10CB62" w14:textId="77777777" w:rsidR="00661A24" w:rsidRDefault="00AD6DC1">
            <w:pPr>
              <w:spacing w:after="0"/>
              <w:jc w:val="left"/>
              <w:rPr>
                <w:rFonts w:ascii="Marianne" w:hAnsi="Marianne"/>
                <w:smallCaps/>
              </w:rPr>
            </w:pPr>
            <w:r>
              <w:rPr>
                <w:rFonts w:ascii="Marianne" w:hAnsi="Marianne"/>
                <w:smallCaps/>
                <w:color w:val="000000"/>
              </w:rPr>
              <w:t>THÉMATIQUE</w:t>
            </w:r>
          </w:p>
        </w:tc>
        <w:tc>
          <w:tcPr>
            <w:tcW w:w="2268" w:type="dxa"/>
            <w:tcBorders>
              <w:top w:val="single" w:sz="4" w:space="0" w:color="auto"/>
              <w:bottom w:val="single" w:sz="4" w:space="0" w:color="auto"/>
            </w:tcBorders>
            <w:shd w:val="clear" w:color="auto" w:fill="D9D9D9"/>
            <w:vAlign w:val="center"/>
          </w:tcPr>
          <w:p w14:paraId="35572A78" w14:textId="77777777" w:rsidR="00661A24" w:rsidRDefault="00AD6DC1">
            <w:pPr>
              <w:spacing w:after="0"/>
              <w:jc w:val="left"/>
              <w:rPr>
                <w:rFonts w:ascii="Marianne" w:hAnsi="Marianne"/>
                <w:smallCaps/>
              </w:rPr>
            </w:pPr>
            <w:r>
              <w:rPr>
                <w:rFonts w:ascii="Marianne" w:hAnsi="Marianne"/>
                <w:smallCaps/>
                <w:color w:val="000000"/>
              </w:rPr>
              <w:t>CRITÈRES</w:t>
            </w:r>
          </w:p>
        </w:tc>
        <w:tc>
          <w:tcPr>
            <w:tcW w:w="7087" w:type="dxa"/>
            <w:tcBorders>
              <w:top w:val="single" w:sz="4" w:space="0" w:color="auto"/>
              <w:bottom w:val="single" w:sz="4" w:space="0" w:color="auto"/>
            </w:tcBorders>
            <w:shd w:val="clear" w:color="auto" w:fill="D9D9D9"/>
            <w:vAlign w:val="center"/>
          </w:tcPr>
          <w:p w14:paraId="6C051C73" w14:textId="77777777" w:rsidR="00661A24" w:rsidRDefault="00AD6DC1">
            <w:pPr>
              <w:spacing w:after="0"/>
              <w:jc w:val="left"/>
              <w:rPr>
                <w:rFonts w:ascii="Marianne" w:hAnsi="Marianne"/>
                <w:smallCaps/>
              </w:rPr>
            </w:pPr>
            <w:r>
              <w:rPr>
                <w:rFonts w:ascii="Marianne" w:hAnsi="Marianne"/>
                <w:smallCaps/>
                <w:color w:val="000000"/>
              </w:rPr>
              <w:t xml:space="preserve">PRÉCISIONS </w:t>
            </w:r>
          </w:p>
        </w:tc>
        <w:tc>
          <w:tcPr>
            <w:tcW w:w="3827" w:type="dxa"/>
            <w:tcBorders>
              <w:top w:val="single" w:sz="4" w:space="0" w:color="auto"/>
              <w:bottom w:val="single" w:sz="4" w:space="0" w:color="auto"/>
              <w:right w:val="single" w:sz="4" w:space="0" w:color="auto"/>
            </w:tcBorders>
            <w:shd w:val="clear" w:color="auto" w:fill="D9D9D9"/>
            <w:vAlign w:val="center"/>
          </w:tcPr>
          <w:p w14:paraId="1B216655" w14:textId="77777777" w:rsidR="00661A24" w:rsidRDefault="00AD6DC1">
            <w:pPr>
              <w:spacing w:after="0"/>
              <w:jc w:val="left"/>
              <w:rPr>
                <w:rFonts w:ascii="Marianne" w:hAnsi="Marianne"/>
                <w:smallCaps/>
              </w:rPr>
            </w:pPr>
            <w:r>
              <w:rPr>
                <w:rFonts w:ascii="Marianne" w:hAnsi="Marianne"/>
                <w:smallCaps/>
                <w:color w:val="000000"/>
              </w:rPr>
              <w:t>INFORMATION À PRODUIRE</w:t>
            </w:r>
          </w:p>
        </w:tc>
      </w:tr>
      <w:tr w:rsidR="00661A24" w14:paraId="3496DF44" w14:textId="77777777">
        <w:trPr>
          <w:trHeight w:val="1077"/>
        </w:trPr>
        <w:tc>
          <w:tcPr>
            <w:tcW w:w="1702" w:type="dxa"/>
            <w:vMerge w:val="restart"/>
            <w:tcBorders>
              <w:top w:val="single" w:sz="4" w:space="0" w:color="auto"/>
              <w:left w:val="single" w:sz="4" w:space="0" w:color="auto"/>
              <w:right w:val="nil"/>
            </w:tcBorders>
            <w:shd w:val="clear" w:color="auto" w:fill="F2F2F2"/>
            <w:vAlign w:val="center"/>
          </w:tcPr>
          <w:p w14:paraId="4E0E4639" w14:textId="77777777" w:rsidR="00661A24" w:rsidRDefault="00AD6DC1">
            <w:pPr>
              <w:spacing w:after="0"/>
              <w:jc w:val="left"/>
              <w:rPr>
                <w:rFonts w:ascii="Marianne" w:hAnsi="Marianne"/>
              </w:rPr>
            </w:pPr>
            <w:r>
              <w:rPr>
                <w:rFonts w:ascii="Marianne" w:hAnsi="Marianne"/>
              </w:rPr>
              <w:t>Projet d’innovation</w:t>
            </w:r>
          </w:p>
        </w:tc>
        <w:tc>
          <w:tcPr>
            <w:tcW w:w="2268" w:type="dxa"/>
            <w:tcBorders>
              <w:top w:val="single" w:sz="4" w:space="0" w:color="auto"/>
              <w:left w:val="nil"/>
              <w:bottom w:val="dotted" w:sz="4" w:space="0" w:color="000000"/>
              <w:right w:val="nil"/>
            </w:tcBorders>
            <w:shd w:val="clear" w:color="auto" w:fill="F2F2F2"/>
            <w:vAlign w:val="center"/>
          </w:tcPr>
          <w:p w14:paraId="14A8E0EF" w14:textId="77777777" w:rsidR="00661A24" w:rsidRDefault="00AD6DC1">
            <w:pPr>
              <w:spacing w:after="0"/>
              <w:jc w:val="left"/>
              <w:rPr>
                <w:rFonts w:ascii="Marianne" w:hAnsi="Marianne"/>
              </w:rPr>
            </w:pPr>
            <w:r>
              <w:rPr>
                <w:rFonts w:ascii="Marianne" w:hAnsi="Marianne"/>
              </w:rPr>
              <w:t xml:space="preserve">Montage du projet </w:t>
            </w:r>
          </w:p>
        </w:tc>
        <w:tc>
          <w:tcPr>
            <w:tcW w:w="7087" w:type="dxa"/>
            <w:tcBorders>
              <w:top w:val="single" w:sz="4" w:space="0" w:color="auto"/>
              <w:left w:val="nil"/>
              <w:bottom w:val="dotted" w:sz="4" w:space="0" w:color="000000"/>
              <w:right w:val="nil"/>
            </w:tcBorders>
            <w:shd w:val="clear" w:color="auto" w:fill="auto"/>
            <w:vAlign w:val="center"/>
          </w:tcPr>
          <w:p w14:paraId="2DC9FDB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Gouvernance, planning et jalons décisionnels, gestion des risques, description des coûts projet, clarté de la rédaction, </w:t>
            </w:r>
            <w:r>
              <w:rPr>
                <w:rFonts w:ascii="Marianne" w:hAnsi="Marianne"/>
                <w:b/>
              </w:rPr>
              <w:t>prise en compte des attentes ci-dessus</w:t>
            </w:r>
          </w:p>
        </w:tc>
        <w:tc>
          <w:tcPr>
            <w:tcW w:w="3827" w:type="dxa"/>
            <w:tcBorders>
              <w:top w:val="single" w:sz="4" w:space="0" w:color="auto"/>
              <w:left w:val="nil"/>
              <w:bottom w:val="dotted" w:sz="4" w:space="0" w:color="000000"/>
              <w:right w:val="single" w:sz="4" w:space="0" w:color="auto"/>
            </w:tcBorders>
            <w:shd w:val="clear" w:color="auto" w:fill="auto"/>
            <w:vAlign w:val="center"/>
          </w:tcPr>
          <w:p w14:paraId="3916A3CE"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4</w:t>
            </w:r>
          </w:p>
        </w:tc>
      </w:tr>
      <w:tr w:rsidR="00661A24" w14:paraId="16AB9BA5" w14:textId="77777777">
        <w:trPr>
          <w:trHeight w:val="1077"/>
        </w:trPr>
        <w:tc>
          <w:tcPr>
            <w:tcW w:w="1702" w:type="dxa"/>
            <w:vMerge/>
            <w:tcBorders>
              <w:top w:val="nil"/>
              <w:left w:val="single" w:sz="4" w:space="0" w:color="auto"/>
              <w:right w:val="nil"/>
            </w:tcBorders>
            <w:shd w:val="clear" w:color="auto" w:fill="F2F2F2"/>
            <w:vAlign w:val="center"/>
          </w:tcPr>
          <w:p w14:paraId="1B000DD8"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nil"/>
              <w:left w:val="nil"/>
              <w:bottom w:val="dotted" w:sz="4" w:space="0" w:color="000000"/>
              <w:right w:val="nil"/>
            </w:tcBorders>
            <w:shd w:val="clear" w:color="auto" w:fill="F2F2F2"/>
            <w:vAlign w:val="center"/>
          </w:tcPr>
          <w:p w14:paraId="6C1FDEA6" w14:textId="77777777" w:rsidR="00661A24" w:rsidRDefault="00AD6DC1">
            <w:pPr>
              <w:spacing w:after="0"/>
              <w:jc w:val="left"/>
              <w:rPr>
                <w:rFonts w:ascii="Marianne" w:hAnsi="Marianne"/>
              </w:rPr>
            </w:pPr>
            <w:r>
              <w:rPr>
                <w:rFonts w:ascii="Marianne" w:hAnsi="Marianne"/>
              </w:rPr>
              <w:t>Consortium</w:t>
            </w:r>
          </w:p>
        </w:tc>
        <w:tc>
          <w:tcPr>
            <w:tcW w:w="7087" w:type="dxa"/>
            <w:tcBorders>
              <w:top w:val="nil"/>
              <w:left w:val="nil"/>
              <w:bottom w:val="dotted" w:sz="4" w:space="0" w:color="000000"/>
              <w:right w:val="nil"/>
            </w:tcBorders>
            <w:shd w:val="clear" w:color="auto" w:fill="auto"/>
            <w:vAlign w:val="center"/>
          </w:tcPr>
          <w:p w14:paraId="1DAD7593"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Pertinence et complémentarité du partenariat</w:t>
            </w:r>
          </w:p>
        </w:tc>
        <w:tc>
          <w:tcPr>
            <w:tcW w:w="3827" w:type="dxa"/>
            <w:tcBorders>
              <w:top w:val="nil"/>
              <w:left w:val="nil"/>
              <w:bottom w:val="dotted" w:sz="4" w:space="0" w:color="000000"/>
              <w:right w:val="single" w:sz="4" w:space="0" w:color="auto"/>
            </w:tcBorders>
            <w:shd w:val="clear" w:color="auto" w:fill="auto"/>
            <w:vAlign w:val="center"/>
          </w:tcPr>
          <w:p w14:paraId="2284583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 3.b</w:t>
            </w:r>
          </w:p>
          <w:p w14:paraId="4A388786"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Projet d’accord de consortium (format libre)</w:t>
            </w:r>
          </w:p>
          <w:p w14:paraId="75B4083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Mandat de représentation pour le coordinateur </w:t>
            </w:r>
          </w:p>
        </w:tc>
      </w:tr>
      <w:tr w:rsidR="00661A24" w14:paraId="24009B0F" w14:textId="77777777">
        <w:trPr>
          <w:trHeight w:val="1077"/>
        </w:trPr>
        <w:tc>
          <w:tcPr>
            <w:tcW w:w="1702" w:type="dxa"/>
            <w:vMerge/>
            <w:tcBorders>
              <w:top w:val="nil"/>
              <w:left w:val="single" w:sz="4" w:space="0" w:color="auto"/>
              <w:right w:val="nil"/>
            </w:tcBorders>
            <w:shd w:val="clear" w:color="auto" w:fill="F2F2F2"/>
            <w:vAlign w:val="center"/>
          </w:tcPr>
          <w:p w14:paraId="507EBA05"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dotted" w:sz="4" w:space="0" w:color="000000"/>
              <w:right w:val="nil"/>
            </w:tcBorders>
            <w:shd w:val="clear" w:color="auto" w:fill="F2F2F2"/>
            <w:vAlign w:val="center"/>
          </w:tcPr>
          <w:p w14:paraId="28B32AAF" w14:textId="77777777" w:rsidR="00661A24" w:rsidRDefault="00AD6DC1">
            <w:pPr>
              <w:spacing w:after="0"/>
              <w:jc w:val="left"/>
              <w:rPr>
                <w:rFonts w:ascii="Marianne" w:hAnsi="Marianne"/>
              </w:rPr>
            </w:pPr>
            <w:r>
              <w:rPr>
                <w:rFonts w:ascii="Marianne" w:hAnsi="Marianne"/>
              </w:rPr>
              <w:t>Plan de financement (projet)</w:t>
            </w:r>
          </w:p>
        </w:tc>
        <w:tc>
          <w:tcPr>
            <w:tcW w:w="7087" w:type="dxa"/>
            <w:tcBorders>
              <w:top w:val="dotted" w:sz="4" w:space="0" w:color="000000"/>
              <w:left w:val="nil"/>
              <w:bottom w:val="dotted" w:sz="4" w:space="0" w:color="000000"/>
              <w:right w:val="nil"/>
            </w:tcBorders>
            <w:shd w:val="clear" w:color="auto" w:fill="auto"/>
            <w:vAlign w:val="center"/>
          </w:tcPr>
          <w:p w14:paraId="7C793F6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Modalités de financement du projet (vigilance sur le respect des besoins en fonds propres – </w:t>
            </w:r>
            <w:proofErr w:type="spellStart"/>
            <w:r>
              <w:rPr>
                <w:rFonts w:ascii="Marianne" w:hAnsi="Marianne"/>
              </w:rPr>
              <w:t>cf</w:t>
            </w:r>
            <w:proofErr w:type="spellEnd"/>
            <w:r>
              <w:rPr>
                <w:rFonts w:ascii="Marianne" w:hAnsi="Marianne"/>
              </w:rPr>
              <w:t xml:space="preserve"> 4.4.2)</w:t>
            </w:r>
          </w:p>
          <w:p w14:paraId="52817B33"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proofErr w:type="spellStart"/>
            <w:r>
              <w:rPr>
                <w:rFonts w:ascii="Marianne" w:hAnsi="Marianne"/>
              </w:rPr>
              <w:t>Incitativité</w:t>
            </w:r>
            <w:proofErr w:type="spellEnd"/>
            <w:r>
              <w:rPr>
                <w:rFonts w:ascii="Marianne" w:hAnsi="Marianne"/>
              </w:rPr>
              <w:t xml:space="preserve"> de l’aide</w:t>
            </w:r>
          </w:p>
        </w:tc>
        <w:tc>
          <w:tcPr>
            <w:tcW w:w="3827" w:type="dxa"/>
            <w:tcBorders>
              <w:top w:val="dotted" w:sz="4" w:space="0" w:color="000000"/>
              <w:left w:val="nil"/>
              <w:bottom w:val="dotted" w:sz="4" w:space="0" w:color="000000"/>
              <w:right w:val="single" w:sz="4" w:space="0" w:color="auto"/>
            </w:tcBorders>
            <w:shd w:val="clear" w:color="auto" w:fill="auto"/>
            <w:vAlign w:val="center"/>
          </w:tcPr>
          <w:p w14:paraId="4C60433F"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3.b ; 6</w:t>
            </w:r>
          </w:p>
        </w:tc>
      </w:tr>
      <w:tr w:rsidR="00661A24" w14:paraId="0E759962" w14:textId="77777777">
        <w:trPr>
          <w:trHeight w:val="1077"/>
        </w:trPr>
        <w:tc>
          <w:tcPr>
            <w:tcW w:w="1702" w:type="dxa"/>
            <w:vMerge/>
            <w:tcBorders>
              <w:top w:val="nil"/>
              <w:left w:val="single" w:sz="4" w:space="0" w:color="auto"/>
              <w:right w:val="nil"/>
            </w:tcBorders>
            <w:shd w:val="clear" w:color="auto" w:fill="F2F2F2"/>
            <w:vAlign w:val="center"/>
          </w:tcPr>
          <w:p w14:paraId="464959C1"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dotted" w:sz="4" w:space="0" w:color="000000"/>
              <w:right w:val="nil"/>
            </w:tcBorders>
            <w:shd w:val="clear" w:color="auto" w:fill="F2F2F2"/>
            <w:vAlign w:val="center"/>
          </w:tcPr>
          <w:p w14:paraId="070509A6" w14:textId="77777777" w:rsidR="00661A24" w:rsidRDefault="00AD6DC1">
            <w:pPr>
              <w:spacing w:after="0"/>
              <w:jc w:val="left"/>
              <w:rPr>
                <w:rFonts w:ascii="Marianne" w:hAnsi="Marianne"/>
              </w:rPr>
            </w:pPr>
            <w:r>
              <w:rPr>
                <w:rFonts w:ascii="Marianne" w:hAnsi="Marianne"/>
              </w:rPr>
              <w:t>Innovation</w:t>
            </w:r>
          </w:p>
        </w:tc>
        <w:tc>
          <w:tcPr>
            <w:tcW w:w="7087" w:type="dxa"/>
            <w:tcBorders>
              <w:top w:val="dotted" w:sz="4" w:space="0" w:color="000000"/>
              <w:left w:val="nil"/>
              <w:bottom w:val="dotted" w:sz="4" w:space="0" w:color="000000"/>
              <w:right w:val="nil"/>
            </w:tcBorders>
            <w:shd w:val="clear" w:color="auto" w:fill="auto"/>
            <w:vAlign w:val="center"/>
          </w:tcPr>
          <w:p w14:paraId="674FD22F"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Innovation de type : technologique, économique, ou organisationnelle</w:t>
            </w:r>
          </w:p>
          <w:p w14:paraId="7C3F4DB5"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Verrous à lever</w:t>
            </w:r>
          </w:p>
          <w:p w14:paraId="2395038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Etat de l’art</w:t>
            </w:r>
          </w:p>
        </w:tc>
        <w:tc>
          <w:tcPr>
            <w:tcW w:w="3827" w:type="dxa"/>
            <w:tcBorders>
              <w:top w:val="dotted" w:sz="4" w:space="0" w:color="000000"/>
              <w:left w:val="nil"/>
              <w:bottom w:val="dotted" w:sz="4" w:space="0" w:color="000000"/>
              <w:right w:val="single" w:sz="4" w:space="0" w:color="auto"/>
            </w:tcBorders>
            <w:shd w:val="clear" w:color="auto" w:fill="auto"/>
            <w:vAlign w:val="center"/>
          </w:tcPr>
          <w:p w14:paraId="26B525B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 3.a</w:t>
            </w:r>
          </w:p>
        </w:tc>
      </w:tr>
      <w:tr w:rsidR="00661A24" w14:paraId="06B8DE68" w14:textId="77777777">
        <w:trPr>
          <w:trHeight w:val="1077"/>
        </w:trPr>
        <w:tc>
          <w:tcPr>
            <w:tcW w:w="1702" w:type="dxa"/>
            <w:vMerge/>
            <w:tcBorders>
              <w:top w:val="nil"/>
              <w:left w:val="single" w:sz="4" w:space="0" w:color="auto"/>
              <w:bottom w:val="single" w:sz="4" w:space="0" w:color="auto"/>
              <w:right w:val="nil"/>
            </w:tcBorders>
            <w:shd w:val="clear" w:color="auto" w:fill="F2F2F2"/>
            <w:vAlign w:val="center"/>
          </w:tcPr>
          <w:p w14:paraId="5089F049"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single" w:sz="4" w:space="0" w:color="auto"/>
              <w:right w:val="nil"/>
            </w:tcBorders>
            <w:shd w:val="clear" w:color="auto" w:fill="F2F2F2"/>
            <w:vAlign w:val="center"/>
          </w:tcPr>
          <w:p w14:paraId="56D3F663" w14:textId="77777777" w:rsidR="00661A24" w:rsidRDefault="00AD6DC1">
            <w:pPr>
              <w:spacing w:after="0"/>
              <w:jc w:val="left"/>
              <w:rPr>
                <w:rFonts w:ascii="Marianne" w:hAnsi="Marianne"/>
              </w:rPr>
            </w:pPr>
            <w:r>
              <w:rPr>
                <w:rFonts w:ascii="Marianne" w:hAnsi="Marianne"/>
              </w:rPr>
              <w:t>Impacts</w:t>
            </w:r>
          </w:p>
        </w:tc>
        <w:tc>
          <w:tcPr>
            <w:tcW w:w="7087" w:type="dxa"/>
            <w:tcBorders>
              <w:top w:val="dotted" w:sz="4" w:space="0" w:color="000000"/>
              <w:left w:val="nil"/>
              <w:bottom w:val="single" w:sz="4" w:space="0" w:color="auto"/>
              <w:right w:val="nil"/>
            </w:tcBorders>
            <w:shd w:val="clear" w:color="auto" w:fill="auto"/>
            <w:vAlign w:val="center"/>
          </w:tcPr>
          <w:p w14:paraId="1CA013F3" w14:textId="77777777" w:rsidR="00661A24" w:rsidRDefault="00661A24">
            <w:pPr>
              <w:pBdr>
                <w:top w:val="nil"/>
                <w:left w:val="nil"/>
                <w:bottom w:val="nil"/>
                <w:right w:val="nil"/>
                <w:between w:val="nil"/>
              </w:pBdr>
              <w:spacing w:after="0"/>
              <w:ind w:left="376"/>
              <w:jc w:val="left"/>
              <w:rPr>
                <w:rFonts w:ascii="Marianne" w:hAnsi="Marianne"/>
              </w:rPr>
            </w:pPr>
          </w:p>
          <w:p w14:paraId="442A1EE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Caractère industrialisable de la solution proposée</w:t>
            </w:r>
          </w:p>
          <w:p w14:paraId="1EF064A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Quantification des éléments annoncés en annexe 5 (ex : ACV, ETV, préservation de la biodiversité, </w:t>
            </w:r>
            <w:proofErr w:type="spellStart"/>
            <w:r>
              <w:rPr>
                <w:rFonts w:ascii="Marianne" w:hAnsi="Marianne"/>
              </w:rPr>
              <w:t>etc</w:t>
            </w:r>
            <w:proofErr w:type="spellEnd"/>
            <w:r>
              <w:rPr>
                <w:rFonts w:ascii="Marianne" w:hAnsi="Marianne"/>
              </w:rPr>
              <w:t xml:space="preserve">), selon notamment les critères de la présente annexe B </w:t>
            </w:r>
          </w:p>
          <w:p w14:paraId="07522141"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Performance environnementale, économique, sociale</w:t>
            </w:r>
          </w:p>
          <w:p w14:paraId="74D27222" w14:textId="77777777" w:rsidR="00661A24" w:rsidRDefault="00661A24">
            <w:pPr>
              <w:pBdr>
                <w:top w:val="nil"/>
                <w:left w:val="nil"/>
                <w:bottom w:val="nil"/>
                <w:right w:val="nil"/>
                <w:between w:val="nil"/>
              </w:pBdr>
              <w:spacing w:after="0"/>
              <w:jc w:val="left"/>
              <w:rPr>
                <w:rFonts w:ascii="Marianne" w:hAnsi="Marianne"/>
              </w:rPr>
            </w:pPr>
          </w:p>
        </w:tc>
        <w:tc>
          <w:tcPr>
            <w:tcW w:w="3827" w:type="dxa"/>
            <w:tcBorders>
              <w:top w:val="dotted" w:sz="4" w:space="0" w:color="000000"/>
              <w:left w:val="nil"/>
              <w:bottom w:val="single" w:sz="4" w:space="0" w:color="auto"/>
              <w:right w:val="single" w:sz="4" w:space="0" w:color="auto"/>
            </w:tcBorders>
            <w:shd w:val="clear" w:color="auto" w:fill="auto"/>
            <w:vAlign w:val="center"/>
          </w:tcPr>
          <w:p w14:paraId="4871730B" w14:textId="77777777" w:rsidR="00661A24" w:rsidRDefault="00661A24">
            <w:pPr>
              <w:pBdr>
                <w:top w:val="nil"/>
                <w:left w:val="nil"/>
                <w:bottom w:val="nil"/>
                <w:right w:val="nil"/>
                <w:between w:val="nil"/>
              </w:pBdr>
              <w:spacing w:after="0"/>
              <w:ind w:left="376"/>
              <w:jc w:val="left"/>
              <w:rPr>
                <w:rFonts w:ascii="Marianne" w:hAnsi="Marianne"/>
              </w:rPr>
            </w:pPr>
          </w:p>
          <w:p w14:paraId="43574E0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5</w:t>
            </w:r>
          </w:p>
          <w:p w14:paraId="07594501" w14:textId="77777777" w:rsidR="00661A24" w:rsidRDefault="00661A24">
            <w:pPr>
              <w:pBdr>
                <w:top w:val="nil"/>
                <w:left w:val="nil"/>
                <w:bottom w:val="nil"/>
                <w:right w:val="nil"/>
                <w:between w:val="nil"/>
              </w:pBdr>
              <w:spacing w:after="0"/>
              <w:jc w:val="left"/>
              <w:rPr>
                <w:rFonts w:ascii="Marianne" w:hAnsi="Marianne"/>
              </w:rPr>
            </w:pPr>
          </w:p>
        </w:tc>
      </w:tr>
      <w:tr w:rsidR="00661A24" w14:paraId="1C411D8C" w14:textId="77777777">
        <w:trPr>
          <w:trHeight w:val="850"/>
        </w:trPr>
        <w:tc>
          <w:tcPr>
            <w:tcW w:w="1702" w:type="dxa"/>
            <w:vMerge w:val="restart"/>
            <w:tcBorders>
              <w:top w:val="single" w:sz="4" w:space="0" w:color="auto"/>
              <w:left w:val="single" w:sz="4" w:space="0" w:color="auto"/>
              <w:bottom w:val="dotted" w:sz="4" w:space="0" w:color="auto"/>
              <w:right w:val="nil"/>
            </w:tcBorders>
            <w:shd w:val="clear" w:color="auto" w:fill="F2F2F2"/>
            <w:vAlign w:val="center"/>
          </w:tcPr>
          <w:p w14:paraId="7D38E13E" w14:textId="77777777" w:rsidR="00661A24" w:rsidRDefault="00AD6DC1">
            <w:pPr>
              <w:spacing w:after="0"/>
              <w:jc w:val="left"/>
              <w:rPr>
                <w:rFonts w:ascii="Marianne" w:hAnsi="Marianne"/>
              </w:rPr>
            </w:pPr>
            <w:r>
              <w:rPr>
                <w:rFonts w:ascii="Marianne" w:hAnsi="Marianne"/>
              </w:rPr>
              <w:t>Marché</w:t>
            </w:r>
          </w:p>
        </w:tc>
        <w:tc>
          <w:tcPr>
            <w:tcW w:w="2268" w:type="dxa"/>
            <w:tcBorders>
              <w:top w:val="single" w:sz="4" w:space="0" w:color="auto"/>
              <w:left w:val="nil"/>
              <w:bottom w:val="dotted" w:sz="4" w:space="0" w:color="000000"/>
              <w:right w:val="nil"/>
            </w:tcBorders>
            <w:shd w:val="clear" w:color="auto" w:fill="F2F2F2"/>
            <w:vAlign w:val="center"/>
          </w:tcPr>
          <w:p w14:paraId="0A2600D6" w14:textId="77777777" w:rsidR="00661A24" w:rsidRDefault="00AD6DC1">
            <w:pPr>
              <w:spacing w:after="0"/>
              <w:jc w:val="left"/>
              <w:rPr>
                <w:rFonts w:ascii="Marianne" w:hAnsi="Marianne"/>
              </w:rPr>
            </w:pPr>
            <w:r>
              <w:rPr>
                <w:rFonts w:ascii="Marianne" w:hAnsi="Marianne"/>
              </w:rPr>
              <w:t>Réplicabilité de la Solution</w:t>
            </w:r>
          </w:p>
        </w:tc>
        <w:tc>
          <w:tcPr>
            <w:tcW w:w="7087" w:type="dxa"/>
            <w:tcBorders>
              <w:top w:val="single" w:sz="4" w:space="0" w:color="auto"/>
              <w:left w:val="nil"/>
              <w:bottom w:val="dotted" w:sz="4" w:space="0" w:color="000000"/>
              <w:right w:val="nil"/>
            </w:tcBorders>
            <w:shd w:val="clear" w:color="auto" w:fill="auto"/>
            <w:vAlign w:val="center"/>
          </w:tcPr>
          <w:p w14:paraId="6EFAC836"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Caractère généralisable de la Solution </w:t>
            </w:r>
          </w:p>
          <w:p w14:paraId="25DFC1D8"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Protection de la propriété intellectuelle développée</w:t>
            </w:r>
          </w:p>
        </w:tc>
        <w:tc>
          <w:tcPr>
            <w:tcW w:w="3827" w:type="dxa"/>
            <w:tcBorders>
              <w:top w:val="single" w:sz="4" w:space="0" w:color="auto"/>
              <w:left w:val="nil"/>
              <w:bottom w:val="dotted" w:sz="4" w:space="0" w:color="000000"/>
              <w:right w:val="single" w:sz="4" w:space="0" w:color="auto"/>
            </w:tcBorders>
            <w:shd w:val="clear" w:color="auto" w:fill="auto"/>
            <w:vAlign w:val="center"/>
          </w:tcPr>
          <w:p w14:paraId="141C499F"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3.b</w:t>
            </w:r>
          </w:p>
        </w:tc>
      </w:tr>
      <w:tr w:rsidR="00661A24" w14:paraId="5CB20AA5" w14:textId="77777777">
        <w:trPr>
          <w:trHeight w:val="850"/>
        </w:trPr>
        <w:tc>
          <w:tcPr>
            <w:tcW w:w="1702" w:type="dxa"/>
            <w:vMerge/>
            <w:tcBorders>
              <w:left w:val="single" w:sz="4" w:space="0" w:color="auto"/>
              <w:bottom w:val="single" w:sz="4" w:space="0" w:color="auto"/>
              <w:right w:val="nil"/>
            </w:tcBorders>
            <w:shd w:val="clear" w:color="auto" w:fill="F2F2F2"/>
            <w:vAlign w:val="center"/>
          </w:tcPr>
          <w:p w14:paraId="091753F6"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single" w:sz="4" w:space="0" w:color="auto"/>
              <w:right w:val="nil"/>
            </w:tcBorders>
            <w:shd w:val="clear" w:color="auto" w:fill="F2F2F2"/>
            <w:vAlign w:val="center"/>
          </w:tcPr>
          <w:p w14:paraId="5EFCBE83" w14:textId="77777777" w:rsidR="00661A24" w:rsidRDefault="00AD6DC1">
            <w:pPr>
              <w:spacing w:after="0"/>
              <w:jc w:val="left"/>
              <w:rPr>
                <w:rFonts w:ascii="Marianne" w:hAnsi="Marianne"/>
              </w:rPr>
            </w:pPr>
            <w:r>
              <w:rPr>
                <w:rFonts w:ascii="Marianne" w:hAnsi="Marianne"/>
              </w:rPr>
              <w:t>Pertinence du modèle d’affaires</w:t>
            </w:r>
          </w:p>
        </w:tc>
        <w:tc>
          <w:tcPr>
            <w:tcW w:w="7087" w:type="dxa"/>
            <w:tcBorders>
              <w:top w:val="dotted" w:sz="4" w:space="0" w:color="000000"/>
              <w:left w:val="nil"/>
              <w:bottom w:val="single" w:sz="4" w:space="0" w:color="auto"/>
              <w:right w:val="nil"/>
            </w:tcBorders>
            <w:shd w:val="clear" w:color="auto" w:fill="auto"/>
            <w:vAlign w:val="center"/>
          </w:tcPr>
          <w:p w14:paraId="21257FA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Accès aux marchés et modèle d’affaires (Produits et services envisagés / segments de marchés)</w:t>
            </w:r>
          </w:p>
          <w:p w14:paraId="369E2DB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Qualité du modèle économique </w:t>
            </w:r>
          </w:p>
          <w:p w14:paraId="6D4D74D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Plan d’affaires et hypothèses étayés : analyse concurrentielle, manifestations d’intérêt, …</w:t>
            </w:r>
          </w:p>
        </w:tc>
        <w:tc>
          <w:tcPr>
            <w:tcW w:w="3827" w:type="dxa"/>
            <w:tcBorders>
              <w:top w:val="dotted" w:sz="4" w:space="0" w:color="000000"/>
              <w:left w:val="nil"/>
              <w:bottom w:val="single" w:sz="4" w:space="0" w:color="auto"/>
              <w:right w:val="single" w:sz="4" w:space="0" w:color="auto"/>
            </w:tcBorders>
            <w:shd w:val="clear" w:color="auto" w:fill="auto"/>
            <w:vAlign w:val="center"/>
          </w:tcPr>
          <w:p w14:paraId="4F892DE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3.b</w:t>
            </w:r>
          </w:p>
        </w:tc>
      </w:tr>
      <w:tr w:rsidR="00661A24" w14:paraId="466A7C65" w14:textId="77777777">
        <w:trPr>
          <w:trHeight w:val="794"/>
        </w:trPr>
        <w:tc>
          <w:tcPr>
            <w:tcW w:w="1702" w:type="dxa"/>
            <w:vMerge w:val="restart"/>
            <w:tcBorders>
              <w:top w:val="single" w:sz="4" w:space="0" w:color="auto"/>
              <w:left w:val="single" w:sz="4" w:space="0" w:color="auto"/>
              <w:bottom w:val="single" w:sz="4" w:space="0" w:color="auto"/>
              <w:right w:val="nil"/>
            </w:tcBorders>
            <w:shd w:val="clear" w:color="auto" w:fill="F2F2F2"/>
            <w:vAlign w:val="center"/>
          </w:tcPr>
          <w:p w14:paraId="354F4A16" w14:textId="77777777" w:rsidR="00661A24" w:rsidRDefault="00AD6DC1">
            <w:pPr>
              <w:spacing w:after="0"/>
              <w:jc w:val="left"/>
              <w:rPr>
                <w:rFonts w:ascii="Marianne" w:hAnsi="Marianne"/>
              </w:rPr>
            </w:pPr>
            <w:r>
              <w:rPr>
                <w:rFonts w:ascii="Marianne" w:hAnsi="Marianne"/>
              </w:rPr>
              <w:t>Post-projet</w:t>
            </w:r>
          </w:p>
        </w:tc>
        <w:tc>
          <w:tcPr>
            <w:tcW w:w="2268" w:type="dxa"/>
            <w:tcBorders>
              <w:top w:val="single" w:sz="4" w:space="0" w:color="auto"/>
              <w:left w:val="nil"/>
              <w:bottom w:val="dotted" w:sz="4" w:space="0" w:color="000000"/>
              <w:right w:val="nil"/>
            </w:tcBorders>
            <w:shd w:val="clear" w:color="auto" w:fill="F2F2F2"/>
            <w:vAlign w:val="center"/>
          </w:tcPr>
          <w:p w14:paraId="3DDA0848" w14:textId="77777777" w:rsidR="00661A24" w:rsidRDefault="00AD6DC1">
            <w:pPr>
              <w:spacing w:after="0"/>
              <w:jc w:val="left"/>
              <w:rPr>
                <w:rFonts w:ascii="Marianne" w:hAnsi="Marianne"/>
              </w:rPr>
            </w:pPr>
            <w:r>
              <w:rPr>
                <w:rFonts w:ascii="Marianne" w:hAnsi="Marianne"/>
              </w:rPr>
              <w:t>Impacts socio-économiques</w:t>
            </w:r>
          </w:p>
        </w:tc>
        <w:tc>
          <w:tcPr>
            <w:tcW w:w="7087" w:type="dxa"/>
            <w:tcBorders>
              <w:top w:val="single" w:sz="4" w:space="0" w:color="auto"/>
              <w:left w:val="nil"/>
              <w:bottom w:val="dotted" w:sz="4" w:space="0" w:color="000000"/>
              <w:right w:val="nil"/>
            </w:tcBorders>
            <w:shd w:val="clear" w:color="auto" w:fill="auto"/>
            <w:vAlign w:val="center"/>
          </w:tcPr>
          <w:p w14:paraId="707C8746"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Perspectives de création ou de maintien de l’emploi </w:t>
            </w:r>
          </w:p>
          <w:p w14:paraId="745E6F7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Bénéfices attendus du projet, directs et induits, pour l’écosystème</w:t>
            </w:r>
          </w:p>
          <w:p w14:paraId="65E6AC0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Enjeux sociaux et sociétaux, le cas échéant, territoriaux</w:t>
            </w:r>
          </w:p>
        </w:tc>
        <w:tc>
          <w:tcPr>
            <w:tcW w:w="3827" w:type="dxa"/>
            <w:tcBorders>
              <w:top w:val="single" w:sz="4" w:space="0" w:color="auto"/>
              <w:left w:val="nil"/>
              <w:bottom w:val="dotted" w:sz="4" w:space="0" w:color="000000"/>
              <w:right w:val="single" w:sz="4" w:space="0" w:color="auto"/>
            </w:tcBorders>
            <w:shd w:val="clear" w:color="auto" w:fill="auto"/>
            <w:vAlign w:val="center"/>
          </w:tcPr>
          <w:p w14:paraId="5D6352C0"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 3.a</w:t>
            </w:r>
          </w:p>
        </w:tc>
      </w:tr>
      <w:tr w:rsidR="00661A24" w14:paraId="4B503350" w14:textId="77777777">
        <w:trPr>
          <w:trHeight w:val="794"/>
        </w:trPr>
        <w:tc>
          <w:tcPr>
            <w:tcW w:w="1702" w:type="dxa"/>
            <w:vMerge/>
            <w:tcBorders>
              <w:left w:val="single" w:sz="4" w:space="0" w:color="auto"/>
              <w:bottom w:val="single" w:sz="4" w:space="0" w:color="auto"/>
              <w:right w:val="nil"/>
            </w:tcBorders>
            <w:shd w:val="clear" w:color="auto" w:fill="F2F2F2"/>
            <w:vAlign w:val="center"/>
          </w:tcPr>
          <w:p w14:paraId="7E331710"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single" w:sz="4" w:space="0" w:color="auto"/>
              <w:right w:val="nil"/>
            </w:tcBorders>
            <w:shd w:val="clear" w:color="auto" w:fill="F2F2F2"/>
            <w:vAlign w:val="center"/>
          </w:tcPr>
          <w:p w14:paraId="0908C1FE" w14:textId="77777777" w:rsidR="00661A24" w:rsidRDefault="00AD6DC1">
            <w:pPr>
              <w:spacing w:after="0"/>
              <w:jc w:val="left"/>
              <w:rPr>
                <w:rFonts w:ascii="Marianne" w:hAnsi="Marianne"/>
              </w:rPr>
            </w:pPr>
            <w:r>
              <w:rPr>
                <w:rFonts w:ascii="Marianne" w:hAnsi="Marianne"/>
              </w:rPr>
              <w:t>Plan de financement (post-projet)</w:t>
            </w:r>
          </w:p>
        </w:tc>
        <w:tc>
          <w:tcPr>
            <w:tcW w:w="7087" w:type="dxa"/>
            <w:tcBorders>
              <w:top w:val="dotted" w:sz="4" w:space="0" w:color="000000"/>
              <w:left w:val="nil"/>
              <w:bottom w:val="single" w:sz="4" w:space="0" w:color="auto"/>
              <w:right w:val="nil"/>
            </w:tcBorders>
            <w:shd w:val="clear" w:color="auto" w:fill="auto"/>
            <w:vAlign w:val="center"/>
          </w:tcPr>
          <w:p w14:paraId="3006E67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Le cas échéant, description des modalités de financement post-projet.</w:t>
            </w:r>
          </w:p>
        </w:tc>
        <w:tc>
          <w:tcPr>
            <w:tcW w:w="3827" w:type="dxa"/>
            <w:tcBorders>
              <w:top w:val="dotted" w:sz="4" w:space="0" w:color="000000"/>
              <w:left w:val="nil"/>
              <w:bottom w:val="single" w:sz="4" w:space="0" w:color="auto"/>
              <w:right w:val="single" w:sz="4" w:space="0" w:color="auto"/>
            </w:tcBorders>
            <w:shd w:val="clear" w:color="auto" w:fill="auto"/>
            <w:vAlign w:val="center"/>
          </w:tcPr>
          <w:p w14:paraId="13C36D99"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 6</w:t>
            </w:r>
          </w:p>
        </w:tc>
      </w:tr>
    </w:tbl>
    <w:p w14:paraId="5ECD6EC2" w14:textId="77777777" w:rsidR="00661A24" w:rsidRDefault="00661A24">
      <w:pPr>
        <w:pStyle w:val="Sansinterligne"/>
        <w:rPr>
          <w:rFonts w:ascii="Marianne" w:hAnsi="Marianne"/>
        </w:rPr>
      </w:pPr>
      <w:bookmarkStart w:id="57" w:name="_Toc10712180"/>
    </w:p>
    <w:p w14:paraId="0A1EFB7F" w14:textId="77777777" w:rsidR="00661A24" w:rsidRDefault="00661A24">
      <w:pPr>
        <w:pStyle w:val="Titre1"/>
        <w:spacing w:line="240" w:lineRule="auto"/>
        <w:ind w:left="567" w:hanging="567"/>
        <w:rPr>
          <w:rFonts w:ascii="Marianne" w:hAnsi="Marianne"/>
        </w:rPr>
        <w:sectPr w:rsidR="00661A24">
          <w:pgSz w:w="16838" w:h="11906" w:orient="landscape"/>
          <w:pgMar w:top="1134" w:right="1134" w:bottom="709" w:left="1134" w:header="567" w:footer="141" w:gutter="0"/>
          <w:cols w:space="720"/>
          <w:titlePg/>
          <w:docGrid w:linePitch="299"/>
        </w:sectPr>
      </w:pPr>
      <w:bookmarkStart w:id="58" w:name="_Toc74823239"/>
      <w:bookmarkStart w:id="59" w:name="_Toc75875335"/>
    </w:p>
    <w:p w14:paraId="61A2E3A4" w14:textId="77777777" w:rsidR="00661A24" w:rsidRDefault="00AD6DC1">
      <w:pPr>
        <w:pStyle w:val="Titre1"/>
        <w:spacing w:line="240" w:lineRule="auto"/>
        <w:ind w:left="567" w:hanging="567"/>
        <w:rPr>
          <w:rFonts w:ascii="Marianne" w:hAnsi="Marianne"/>
          <w:color w:val="002060"/>
        </w:rPr>
      </w:pPr>
      <w:bookmarkStart w:id="60" w:name="_Toc140092169"/>
      <w:r>
        <w:rPr>
          <w:rFonts w:ascii="Marianne" w:hAnsi="Marianne"/>
          <w:color w:val="002060"/>
        </w:rPr>
        <w:lastRenderedPageBreak/>
        <w:t xml:space="preserve">Régime d’aides et </w:t>
      </w:r>
      <w:bookmarkEnd w:id="57"/>
      <w:bookmarkEnd w:id="58"/>
      <w:bookmarkEnd w:id="59"/>
      <w:r>
        <w:rPr>
          <w:rFonts w:ascii="Marianne" w:hAnsi="Marianne"/>
          <w:color w:val="002060"/>
        </w:rPr>
        <w:t>modalités de financement</w:t>
      </w:r>
      <w:bookmarkEnd w:id="60"/>
      <w:r>
        <w:rPr>
          <w:rFonts w:ascii="Marianne" w:hAnsi="Marianne"/>
          <w:color w:val="002060"/>
        </w:rPr>
        <w:t xml:space="preserve"> </w:t>
      </w:r>
    </w:p>
    <w:p w14:paraId="410406BC" w14:textId="77777777" w:rsidR="00661A24" w:rsidRDefault="00AD6DC1">
      <w:pPr>
        <w:pStyle w:val="Titre2"/>
        <w:keepLines/>
        <w:spacing w:before="280" w:line="240" w:lineRule="auto"/>
        <w:jc w:val="left"/>
        <w:rPr>
          <w:rFonts w:ascii="Marianne" w:hAnsi="Marianne"/>
        </w:rPr>
      </w:pPr>
      <w:bookmarkStart w:id="61" w:name="_Toc140092170"/>
      <w:r>
        <w:rPr>
          <w:rFonts w:ascii="Marianne" w:hAnsi="Marianne"/>
        </w:rPr>
        <w:t>Régime d’aides et date d’éligibilité des dépenses</w:t>
      </w:r>
      <w:bookmarkEnd w:id="61"/>
    </w:p>
    <w:p w14:paraId="52833350" w14:textId="77777777" w:rsidR="00661A24" w:rsidRDefault="00AD6DC1">
      <w:pPr>
        <w:spacing w:after="120"/>
        <w:rPr>
          <w:rFonts w:ascii="Marianne" w:hAnsi="Marianne"/>
        </w:rPr>
      </w:pPr>
      <w:bookmarkStart w:id="62" w:name="_Hlk139292149"/>
      <w:r>
        <w:rPr>
          <w:rFonts w:ascii="Marianne" w:hAnsi="Marianne"/>
        </w:rPr>
        <w:t>L’intervention publique s’effectue dans le respect de la réglementation communautaire en matière d’aides d’Etat (articles 107 et 108 du Traité sur le fonctionnement de l’Union Européenne). Il est tenu compte, pour apprécier la comptabilité des aides d’Etats avec le marché intérieur, des régimes cadres d’aides d’Etats existants à la date de publication de cet AAP</w:t>
      </w:r>
      <w:r>
        <w:rPr>
          <w:rFonts w:ascii="Calibri" w:hAnsi="Calibri" w:cs="Calibri"/>
        </w:rPr>
        <w:t> </w:t>
      </w:r>
      <w:r>
        <w:rPr>
          <w:rFonts w:ascii="Marianne" w:hAnsi="Marianne"/>
        </w:rPr>
        <w:t xml:space="preserve">: </w:t>
      </w:r>
    </w:p>
    <w:p w14:paraId="0E5455D0" w14:textId="77777777" w:rsidR="00661A24" w:rsidRDefault="00AD6DC1">
      <w:pPr>
        <w:pStyle w:val="Paragraphedeliste"/>
        <w:numPr>
          <w:ilvl w:val="0"/>
          <w:numId w:val="7"/>
        </w:numPr>
        <w:spacing w:after="120"/>
        <w:rPr>
          <w:rFonts w:ascii="Marianne" w:hAnsi="Marianne"/>
        </w:rPr>
      </w:pPr>
      <w:r>
        <w:rPr>
          <w:rFonts w:ascii="Marianne" w:hAnsi="Marianne"/>
        </w:rPr>
        <w:t>régime cadre exempté d’aides à la recherche, au développement et à l’innovation n° SA.58995 pris sur la base du règlement général d’exemption par catégorie n° 651/2014 adopté par la Commission européenne le 17 juin 2014 et publié au Journal Officiel de l’Union Européenne le 26 juin 2014, tel que modifié par les Règlements (UE) 2017/1084 de la Commission du 14 juin 2017, publié au Journal Officiel de l’Union Européenne du 20 juin 2017 et 2020/972 du 2 juillet 2020 publié au JOUE du 7 juillet 2020</w:t>
      </w:r>
      <w:r>
        <w:rPr>
          <w:rFonts w:ascii="Calibri" w:hAnsi="Calibri" w:cs="Calibri"/>
        </w:rPr>
        <w:t> </w:t>
      </w:r>
      <w:r>
        <w:rPr>
          <w:rFonts w:ascii="Marianne" w:hAnsi="Marianne"/>
        </w:rPr>
        <w:t>;</w:t>
      </w:r>
    </w:p>
    <w:p w14:paraId="546CC68E" w14:textId="77777777" w:rsidR="00661A24" w:rsidRDefault="00661A24">
      <w:pPr>
        <w:pStyle w:val="Paragraphedeliste"/>
        <w:spacing w:after="120"/>
        <w:rPr>
          <w:rFonts w:ascii="Marianne" w:hAnsi="Marianne"/>
        </w:rPr>
      </w:pPr>
    </w:p>
    <w:p w14:paraId="6C0A260D" w14:textId="77777777" w:rsidR="00661A24" w:rsidRDefault="00AD6DC1">
      <w:pPr>
        <w:pStyle w:val="Paragraphedeliste"/>
        <w:numPr>
          <w:ilvl w:val="0"/>
          <w:numId w:val="7"/>
        </w:numPr>
        <w:spacing w:after="120"/>
        <w:rPr>
          <w:rFonts w:ascii="Marianne" w:hAnsi="Marianne"/>
        </w:rPr>
      </w:pPr>
      <w:r>
        <w:rPr>
          <w:rFonts w:ascii="Marianne" w:hAnsi="Marianne"/>
        </w:rPr>
        <w:t>éventuellement le régime d’aide exempté n° SA.59108, relatif aux aides à la protection de l’environnement pour la période 2014-2023, adopté sur la base du règlement général d’exemption par catégorie n° 651/2014 de la Commission européenne, publié au JOUE du 26 juin 2 2014, modifié par les règlements 2017/1084 du 14 juin 2017 publié au JOUE du 20 juin 2017 et 2020/972 du 2 juillet 2020 publié au JOUE du 7 juillet 2020</w:t>
      </w:r>
      <w:r>
        <w:rPr>
          <w:rFonts w:ascii="Calibri" w:hAnsi="Calibri" w:cs="Calibri"/>
        </w:rPr>
        <w:t> </w:t>
      </w:r>
      <w:r>
        <w:rPr>
          <w:rFonts w:ascii="Marianne" w:hAnsi="Marianne"/>
        </w:rPr>
        <w:t>, dont notamment les mesures relatives aux aides à l’investissement permettant aux entreprises d’aller au-delà des normes de protection environnementale de l’UE ou d’augmenter le niveau de protection de l’environnement en l’absence de normes de l’UE</w:t>
      </w:r>
      <w:r>
        <w:rPr>
          <w:rFonts w:ascii="Calibri" w:hAnsi="Calibri" w:cs="Calibri"/>
        </w:rPr>
        <w:t> </w:t>
      </w:r>
      <w:r>
        <w:rPr>
          <w:rFonts w:ascii="Marianne" w:hAnsi="Marianne"/>
        </w:rPr>
        <w:t>;</w:t>
      </w:r>
    </w:p>
    <w:p w14:paraId="5C62B336" w14:textId="77777777" w:rsidR="00661A24" w:rsidRDefault="00661A24">
      <w:pPr>
        <w:pStyle w:val="Paragraphedeliste"/>
        <w:rPr>
          <w:rFonts w:ascii="Marianne" w:hAnsi="Marianne"/>
        </w:rPr>
      </w:pPr>
    </w:p>
    <w:p w14:paraId="51820D6F" w14:textId="77777777" w:rsidR="00661A24" w:rsidRDefault="00AD6DC1">
      <w:pPr>
        <w:spacing w:after="120"/>
        <w:rPr>
          <w:rFonts w:ascii="Marianne" w:hAnsi="Marianne" w:cs="Marianne"/>
        </w:rPr>
      </w:pPr>
      <w:r>
        <w:rPr>
          <w:rFonts w:ascii="Marianne" w:hAnsi="Marianne"/>
        </w:rPr>
        <w:t xml:space="preserve">Les modalités d’aides devront être conformes aux régimes d’aides en vigueur à cette échéance ; </w:t>
      </w:r>
      <w:r>
        <w:rPr>
          <w:rFonts w:ascii="Marianne" w:hAnsi="Marianne" w:cs="Marianne"/>
        </w:rPr>
        <w:t xml:space="preserve">l’ADEME se réserve donc la possibilité d’apporter toute modification rendue nécessaire au regard de l’évolution des encadrements communautaires ou des régimes d’aides applicables. </w:t>
      </w:r>
    </w:p>
    <w:p w14:paraId="054A4DF8" w14:textId="77777777" w:rsidR="00661A24" w:rsidRDefault="00AD6DC1">
      <w:pPr>
        <w:spacing w:after="120"/>
        <w:rPr>
          <w:rFonts w:ascii="Marianne" w:hAnsi="Marianne"/>
        </w:rPr>
      </w:pPr>
      <w:r>
        <w:rPr>
          <w:rFonts w:ascii="Marianne" w:hAnsi="Marianne"/>
        </w:rPr>
        <w:t>Les régimes d’aides sont disponibles sur le site</w:t>
      </w:r>
      <w:r>
        <w:rPr>
          <w:rFonts w:ascii="Calibri" w:hAnsi="Calibri" w:cs="Calibri"/>
        </w:rPr>
        <w:t> </w:t>
      </w:r>
      <w:r>
        <w:rPr>
          <w:rFonts w:ascii="Marianne" w:hAnsi="Marianne"/>
        </w:rPr>
        <w:t xml:space="preserve">: </w:t>
      </w:r>
      <w:hyperlink r:id="rId22" w:history="1">
        <w:r>
          <w:rPr>
            <w:rStyle w:val="Lienhypertexte"/>
            <w:rFonts w:ascii="Marianne" w:hAnsi="Marianne"/>
          </w:rPr>
          <w:t>https://www.europe-en-france.gouv.fr/fr/aides-d-etat</w:t>
        </w:r>
      </w:hyperlink>
      <w:r>
        <w:rPr>
          <w:rFonts w:ascii="Marianne" w:hAnsi="Marianne"/>
        </w:rPr>
        <w:t>. Ils détaillent les conditions d’application du présent dispositif pour assurer sa comptabilité avec le droit de l’Union européenne.</w:t>
      </w:r>
    </w:p>
    <w:p w14:paraId="0E9DD320" w14:textId="77777777" w:rsidR="00661A24" w:rsidRDefault="00AD6DC1">
      <w:pPr>
        <w:rPr>
          <w:rFonts w:ascii="Marianne" w:hAnsi="Marianne"/>
          <w:bCs/>
        </w:rPr>
      </w:pPr>
      <w:r>
        <w:rPr>
          <w:rFonts w:ascii="Marianne" w:hAnsi="Marianne"/>
          <w:bCs/>
        </w:rPr>
        <w:t>Une FAQ est également disponible sur le site ADEME de l’AAP.</w:t>
      </w:r>
    </w:p>
    <w:p w14:paraId="57B936A9" w14:textId="77777777" w:rsidR="00661A24" w:rsidRDefault="00661A24">
      <w:pPr>
        <w:spacing w:after="120"/>
        <w:rPr>
          <w:rFonts w:ascii="Marianne" w:hAnsi="Marianne"/>
          <w:b/>
        </w:rPr>
      </w:pPr>
    </w:p>
    <w:p w14:paraId="7772C888" w14:textId="77777777" w:rsidR="00661A24" w:rsidRDefault="00AD6DC1">
      <w:pPr>
        <w:rPr>
          <w:rFonts w:ascii="Marianne" w:hAnsi="Marianne"/>
          <w:b/>
        </w:rPr>
      </w:pPr>
      <w:r>
        <w:rPr>
          <w:rFonts w:ascii="Marianne" w:hAnsi="Marianne"/>
          <w:b/>
        </w:rPr>
        <w:t>Les dépenses ne peuvent être prises en compte qu’à compter de la date de dépôt du dossier complet auprès de l’ADEME, étant entendu que les dépenses engagées entre ce dépôt et la signature des conventions de financement par l’ADEME le sont au risque des partenaires.</w:t>
      </w:r>
    </w:p>
    <w:p w14:paraId="09841321" w14:textId="77777777" w:rsidR="00661A24" w:rsidRDefault="00661A24">
      <w:pPr>
        <w:pStyle w:val="Titre2"/>
        <w:keepLines/>
        <w:spacing w:before="280" w:line="240" w:lineRule="auto"/>
        <w:jc w:val="left"/>
        <w:rPr>
          <w:rFonts w:ascii="Marianne" w:hAnsi="Marianne"/>
        </w:rPr>
        <w:sectPr w:rsidR="00661A24">
          <w:pgSz w:w="11906" w:h="16838"/>
          <w:pgMar w:top="1134" w:right="709" w:bottom="1134" w:left="1134" w:header="567" w:footer="141" w:gutter="0"/>
          <w:cols w:space="720"/>
          <w:titlePg/>
          <w:docGrid w:linePitch="299"/>
        </w:sectPr>
      </w:pPr>
      <w:bookmarkStart w:id="63" w:name="_Toc10712181"/>
      <w:bookmarkStart w:id="64" w:name="_Toc74823240"/>
      <w:bookmarkStart w:id="65" w:name="_Toc75875336"/>
      <w:bookmarkEnd w:id="62"/>
    </w:p>
    <w:p w14:paraId="2ADE8712" w14:textId="77777777" w:rsidR="00661A24" w:rsidRDefault="00AD6DC1">
      <w:pPr>
        <w:pStyle w:val="Titre2"/>
        <w:keepLines/>
        <w:spacing w:before="280" w:line="240" w:lineRule="auto"/>
        <w:jc w:val="left"/>
        <w:rPr>
          <w:rFonts w:ascii="Marianne" w:hAnsi="Marianne"/>
        </w:rPr>
      </w:pPr>
      <w:bookmarkStart w:id="66" w:name="_Toc140092171"/>
      <w:r>
        <w:rPr>
          <w:rFonts w:ascii="Marianne" w:hAnsi="Marianne"/>
        </w:rPr>
        <w:lastRenderedPageBreak/>
        <w:t>Description coûts éligibles et retenus dans le cas général</w:t>
      </w:r>
      <w:bookmarkEnd w:id="66"/>
      <w:r>
        <w:rPr>
          <w:rFonts w:ascii="Marianne" w:hAnsi="Marianne"/>
        </w:rPr>
        <w:t xml:space="preserve"> </w:t>
      </w:r>
      <w:bookmarkStart w:id="67" w:name="_Description_coûts_éligibles"/>
      <w:bookmarkEnd w:id="63"/>
      <w:bookmarkEnd w:id="64"/>
      <w:bookmarkEnd w:id="65"/>
      <w:bookmarkEnd w:id="67"/>
    </w:p>
    <w:p w14:paraId="35F08C37" w14:textId="77777777" w:rsidR="00661A24" w:rsidRDefault="00AD6DC1">
      <w:pPr>
        <w:rPr>
          <w:rFonts w:ascii="Marianne" w:hAnsi="Marianne"/>
          <w:bCs/>
        </w:rPr>
      </w:pPr>
      <w:r>
        <w:rPr>
          <w:rFonts w:ascii="Marianne" w:hAnsi="Marianne"/>
          <w:bCs/>
        </w:rPr>
        <w:t>Les dépenses éligibles sont directement affectées au projet (hormis les frais connexes qui sont calculés par un forfait). La nature des dépenses éligibles est précisée dans le respect du régime d’aides cités précédemment :</w:t>
      </w:r>
    </w:p>
    <w:p w14:paraId="683FE92D" w14:textId="77777777" w:rsidR="00661A24" w:rsidRDefault="00661A24">
      <w:pPr>
        <w:rPr>
          <w:rFonts w:ascii="Marianne" w:hAnsi="Marianne"/>
          <w:bCs/>
        </w:rPr>
      </w:pPr>
    </w:p>
    <w:tbl>
      <w:tblPr>
        <w:tblW w:w="1530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701"/>
        <w:gridCol w:w="3544"/>
        <w:gridCol w:w="10064"/>
      </w:tblGrid>
      <w:tr w:rsidR="00661A24" w14:paraId="5DAF449D" w14:textId="77777777">
        <w:trPr>
          <w:trHeight w:val="220"/>
        </w:trPr>
        <w:tc>
          <w:tcPr>
            <w:tcW w:w="1701" w:type="dxa"/>
            <w:tcBorders>
              <w:top w:val="nil"/>
              <w:left w:val="nil"/>
              <w:bottom w:val="single" w:sz="4" w:space="0" w:color="auto"/>
              <w:right w:val="dotted" w:sz="4" w:space="0" w:color="000000"/>
            </w:tcBorders>
            <w:shd w:val="clear" w:color="auto" w:fill="FFFFFF" w:themeFill="background1"/>
          </w:tcPr>
          <w:p w14:paraId="76E16352" w14:textId="77777777" w:rsidR="00661A24" w:rsidRDefault="00661A24">
            <w:pPr>
              <w:spacing w:after="120"/>
              <w:jc w:val="center"/>
              <w:rPr>
                <w:rFonts w:ascii="Marianne" w:hAnsi="Marianne"/>
              </w:rPr>
            </w:pPr>
          </w:p>
        </w:tc>
        <w:tc>
          <w:tcPr>
            <w:tcW w:w="3544" w:type="dxa"/>
            <w:tcBorders>
              <w:top w:val="single" w:sz="4" w:space="0" w:color="auto"/>
              <w:left w:val="single" w:sz="4" w:space="0" w:color="auto"/>
              <w:bottom w:val="single" w:sz="4" w:space="0" w:color="auto"/>
              <w:right w:val="dotted" w:sz="4" w:space="0" w:color="000000"/>
            </w:tcBorders>
            <w:shd w:val="clear" w:color="auto" w:fill="D9D9D9"/>
          </w:tcPr>
          <w:p w14:paraId="3FAC4A48" w14:textId="77777777" w:rsidR="00661A24" w:rsidRDefault="00AD6DC1">
            <w:pPr>
              <w:spacing w:after="120"/>
              <w:jc w:val="center"/>
              <w:rPr>
                <w:rFonts w:ascii="Marianne" w:hAnsi="Marianne"/>
              </w:rPr>
            </w:pPr>
            <w:r>
              <w:rPr>
                <w:rFonts w:ascii="Marianne" w:hAnsi="Marianne"/>
              </w:rPr>
              <w:t xml:space="preserve">Type de dépenses </w:t>
            </w:r>
          </w:p>
        </w:tc>
        <w:tc>
          <w:tcPr>
            <w:tcW w:w="10064" w:type="dxa"/>
            <w:tcBorders>
              <w:top w:val="single" w:sz="4" w:space="0" w:color="auto"/>
              <w:left w:val="dotted" w:sz="4" w:space="0" w:color="000000"/>
              <w:bottom w:val="single" w:sz="4" w:space="0" w:color="auto"/>
              <w:right w:val="single" w:sz="4" w:space="0" w:color="auto"/>
            </w:tcBorders>
            <w:shd w:val="clear" w:color="auto" w:fill="D9D9D9"/>
          </w:tcPr>
          <w:p w14:paraId="4FAA91FC" w14:textId="77777777" w:rsidR="00661A24" w:rsidRDefault="00AD6DC1">
            <w:pPr>
              <w:spacing w:after="120"/>
              <w:jc w:val="center"/>
              <w:rPr>
                <w:rFonts w:ascii="Marianne" w:hAnsi="Marianne"/>
              </w:rPr>
            </w:pPr>
            <w:r>
              <w:rPr>
                <w:rFonts w:ascii="Marianne" w:hAnsi="Marianne"/>
              </w:rPr>
              <w:t xml:space="preserve">Principes </w:t>
            </w:r>
          </w:p>
        </w:tc>
      </w:tr>
      <w:tr w:rsidR="00661A24" w14:paraId="6ADD171B" w14:textId="77777777">
        <w:trPr>
          <w:trHeight w:val="280"/>
        </w:trPr>
        <w:tc>
          <w:tcPr>
            <w:tcW w:w="1701" w:type="dxa"/>
            <w:vMerge w:val="restart"/>
            <w:tcBorders>
              <w:top w:val="single" w:sz="4" w:space="0" w:color="auto"/>
              <w:left w:val="single" w:sz="4" w:space="0" w:color="auto"/>
            </w:tcBorders>
            <w:shd w:val="clear" w:color="auto" w:fill="F2F2F2" w:themeFill="background1" w:themeFillShade="F2"/>
            <w:vAlign w:val="center"/>
          </w:tcPr>
          <w:p w14:paraId="27E83399" w14:textId="77777777" w:rsidR="00661A24" w:rsidRDefault="00AD6DC1">
            <w:pPr>
              <w:spacing w:after="120"/>
              <w:jc w:val="left"/>
              <w:rPr>
                <w:rFonts w:ascii="Marianne" w:hAnsi="Marianne"/>
              </w:rPr>
            </w:pPr>
            <w:r>
              <w:rPr>
                <w:rFonts w:ascii="Marianne" w:hAnsi="Marianne"/>
              </w:rPr>
              <w:t>Régime d’aide RDI</w:t>
            </w:r>
            <w:r>
              <w:rPr>
                <w:rStyle w:val="Appelnotedebasdep"/>
                <w:rFonts w:ascii="Marianne" w:hAnsi="Marianne"/>
              </w:rPr>
              <w:footnoteReference w:id="4"/>
            </w:r>
          </w:p>
        </w:tc>
        <w:tc>
          <w:tcPr>
            <w:tcW w:w="3544" w:type="dxa"/>
            <w:tcBorders>
              <w:top w:val="single" w:sz="4" w:space="0" w:color="auto"/>
              <w:left w:val="single" w:sz="4" w:space="0" w:color="auto"/>
              <w:bottom w:val="dotted" w:sz="4" w:space="0" w:color="000000"/>
            </w:tcBorders>
            <w:shd w:val="clear" w:color="auto" w:fill="F2F2F2" w:themeFill="background1" w:themeFillShade="F2"/>
            <w:vAlign w:val="center"/>
          </w:tcPr>
          <w:p w14:paraId="12103207" w14:textId="77777777" w:rsidR="00661A24" w:rsidRDefault="00AD6DC1">
            <w:pPr>
              <w:spacing w:after="120"/>
              <w:jc w:val="left"/>
              <w:rPr>
                <w:rFonts w:ascii="Marianne" w:hAnsi="Marianne"/>
                <w:sz w:val="20"/>
              </w:rPr>
            </w:pPr>
            <w:r>
              <w:rPr>
                <w:rFonts w:ascii="Marianne" w:hAnsi="Marianne"/>
                <w:sz w:val="20"/>
              </w:rPr>
              <w:t>Salaires et charges</w:t>
            </w:r>
          </w:p>
        </w:tc>
        <w:tc>
          <w:tcPr>
            <w:tcW w:w="10064" w:type="dxa"/>
            <w:tcBorders>
              <w:top w:val="single" w:sz="4" w:space="0" w:color="auto"/>
              <w:bottom w:val="dotted" w:sz="4" w:space="0" w:color="000000"/>
              <w:right w:val="single" w:sz="4" w:space="0" w:color="auto"/>
            </w:tcBorders>
            <w:shd w:val="clear" w:color="auto" w:fill="auto"/>
            <w:vAlign w:val="center"/>
          </w:tcPr>
          <w:p w14:paraId="125BE7ED"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Salaires chargés du personnel du projet (non environnés)</w:t>
            </w:r>
          </w:p>
        </w:tc>
      </w:tr>
      <w:tr w:rsidR="00661A24" w14:paraId="591BD856" w14:textId="77777777">
        <w:trPr>
          <w:trHeight w:val="280"/>
        </w:trPr>
        <w:tc>
          <w:tcPr>
            <w:tcW w:w="1701" w:type="dxa"/>
            <w:vMerge/>
            <w:tcBorders>
              <w:left w:val="single" w:sz="4" w:space="0" w:color="auto"/>
            </w:tcBorders>
            <w:shd w:val="clear" w:color="auto" w:fill="F2F2F2" w:themeFill="background1" w:themeFillShade="F2"/>
          </w:tcPr>
          <w:p w14:paraId="3ECC66DD"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4292F018" w14:textId="77777777" w:rsidR="00661A24" w:rsidRDefault="00AD6DC1">
            <w:pPr>
              <w:spacing w:after="120"/>
              <w:jc w:val="left"/>
              <w:rPr>
                <w:rFonts w:ascii="Marianne" w:hAnsi="Marianne"/>
                <w:sz w:val="20"/>
              </w:rPr>
            </w:pPr>
            <w:r>
              <w:rPr>
                <w:rFonts w:ascii="Marianne" w:hAnsi="Marianne"/>
                <w:sz w:val="20"/>
              </w:rPr>
              <w:t>Frais connexes</w:t>
            </w:r>
          </w:p>
        </w:tc>
        <w:tc>
          <w:tcPr>
            <w:tcW w:w="10064" w:type="dxa"/>
            <w:tcBorders>
              <w:top w:val="dotted" w:sz="4" w:space="0" w:color="000000"/>
              <w:bottom w:val="dotted" w:sz="4" w:space="0" w:color="000000"/>
              <w:right w:val="single" w:sz="4" w:space="0" w:color="auto"/>
            </w:tcBorders>
            <w:shd w:val="clear" w:color="auto" w:fill="auto"/>
            <w:vAlign w:val="center"/>
          </w:tcPr>
          <w:p w14:paraId="1A11B152"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Montant forfaitaire de dépenses:</w:t>
            </w:r>
          </w:p>
          <w:p w14:paraId="33CC6025" w14:textId="77777777" w:rsidR="00661A24" w:rsidRDefault="00AD6DC1">
            <w:pPr>
              <w:numPr>
                <w:ilvl w:val="1"/>
                <w:numId w:val="1"/>
              </w:numPr>
              <w:pBdr>
                <w:top w:val="nil"/>
                <w:left w:val="nil"/>
                <w:bottom w:val="nil"/>
                <w:right w:val="nil"/>
                <w:between w:val="nil"/>
              </w:pBdr>
              <w:spacing w:after="0"/>
              <w:ind w:left="859" w:hanging="204"/>
              <w:jc w:val="left"/>
              <w:rPr>
                <w:rFonts w:ascii="Marianne" w:hAnsi="Marianne"/>
                <w:sz w:val="20"/>
              </w:rPr>
            </w:pPr>
            <w:r>
              <w:rPr>
                <w:rFonts w:ascii="Marianne" w:hAnsi="Marianne"/>
                <w:sz w:val="20"/>
              </w:rPr>
              <w:t xml:space="preserve">Pour les activités économiques (sociétés commerciales, </w:t>
            </w:r>
            <w:proofErr w:type="spellStart"/>
            <w:r>
              <w:rPr>
                <w:rFonts w:ascii="Marianne" w:hAnsi="Marianne"/>
                <w:sz w:val="20"/>
              </w:rPr>
              <w:t>EPICs</w:t>
            </w:r>
            <w:proofErr w:type="spellEnd"/>
            <w:r>
              <w:rPr>
                <w:rFonts w:ascii="Marianne" w:hAnsi="Marianne"/>
                <w:sz w:val="20"/>
              </w:rPr>
              <w:t xml:space="preserve">, GIE, centres techniques, </w:t>
            </w:r>
            <w:proofErr w:type="spellStart"/>
            <w:r>
              <w:rPr>
                <w:rFonts w:ascii="Marianne" w:hAnsi="Marianne"/>
                <w:sz w:val="20"/>
              </w:rPr>
              <w:t>etc</w:t>
            </w:r>
            <w:proofErr w:type="spellEnd"/>
            <w:r>
              <w:rPr>
                <w:rFonts w:ascii="Marianne" w:hAnsi="Marianne"/>
                <w:sz w:val="20"/>
              </w:rPr>
              <w:t>) : 20% des salaires chargés non environnés</w:t>
            </w:r>
          </w:p>
          <w:p w14:paraId="42913E9D" w14:textId="77777777" w:rsidR="00661A24" w:rsidRDefault="00AD6DC1">
            <w:pPr>
              <w:numPr>
                <w:ilvl w:val="1"/>
                <w:numId w:val="1"/>
              </w:numPr>
              <w:pBdr>
                <w:top w:val="nil"/>
                <w:left w:val="nil"/>
                <w:bottom w:val="nil"/>
                <w:right w:val="nil"/>
                <w:between w:val="nil"/>
              </w:pBdr>
              <w:spacing w:after="0"/>
              <w:ind w:left="859" w:hanging="204"/>
              <w:jc w:val="left"/>
              <w:rPr>
                <w:rFonts w:ascii="Marianne" w:hAnsi="Marianne"/>
                <w:sz w:val="20"/>
              </w:rPr>
            </w:pPr>
            <w:r>
              <w:rPr>
                <w:rFonts w:ascii="Marianne" w:hAnsi="Marianne"/>
                <w:sz w:val="20"/>
              </w:rPr>
              <w:t xml:space="preserve">Pour les activités non économiques (EPA et EPST, </w:t>
            </w:r>
            <w:proofErr w:type="spellStart"/>
            <w:r>
              <w:rPr>
                <w:rFonts w:ascii="Marianne" w:hAnsi="Marianne"/>
                <w:sz w:val="20"/>
              </w:rPr>
              <w:t>etc</w:t>
            </w:r>
            <w:proofErr w:type="spellEnd"/>
            <w:r>
              <w:rPr>
                <w:rFonts w:ascii="Marianne" w:hAnsi="Marianne"/>
                <w:sz w:val="20"/>
              </w:rPr>
              <w:t>) : 4% des dépenses d'équipement (amortissements) + 8% des autres dépenses éligibles et retenues (soit hors équipement)</w:t>
            </w:r>
          </w:p>
        </w:tc>
      </w:tr>
      <w:tr w:rsidR="00661A24" w14:paraId="601CB623" w14:textId="77777777">
        <w:trPr>
          <w:trHeight w:val="280"/>
        </w:trPr>
        <w:tc>
          <w:tcPr>
            <w:tcW w:w="1701" w:type="dxa"/>
            <w:vMerge/>
            <w:tcBorders>
              <w:left w:val="single" w:sz="4" w:space="0" w:color="auto"/>
            </w:tcBorders>
            <w:shd w:val="clear" w:color="auto" w:fill="F2F2F2" w:themeFill="background1" w:themeFillShade="F2"/>
          </w:tcPr>
          <w:p w14:paraId="1C474A23"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75F3F3F5" w14:textId="77777777" w:rsidR="00661A24" w:rsidRDefault="00AD6DC1">
            <w:pPr>
              <w:spacing w:after="120"/>
              <w:jc w:val="left"/>
              <w:rPr>
                <w:rFonts w:ascii="Marianne" w:hAnsi="Marianne"/>
                <w:sz w:val="20"/>
              </w:rPr>
            </w:pPr>
            <w:r>
              <w:rPr>
                <w:rFonts w:ascii="Marianne" w:hAnsi="Marianne"/>
                <w:sz w:val="20"/>
              </w:rPr>
              <w:t>Coûts de sous-traitance</w:t>
            </w:r>
          </w:p>
        </w:tc>
        <w:tc>
          <w:tcPr>
            <w:tcW w:w="10064" w:type="dxa"/>
            <w:tcBorders>
              <w:top w:val="dotted" w:sz="4" w:space="0" w:color="000000"/>
              <w:bottom w:val="dotted" w:sz="4" w:space="0" w:color="000000"/>
              <w:right w:val="single" w:sz="4" w:space="0" w:color="auto"/>
            </w:tcBorders>
            <w:shd w:val="clear" w:color="auto" w:fill="auto"/>
            <w:vAlign w:val="center"/>
          </w:tcPr>
          <w:p w14:paraId="2AE2F6A4"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Coûts de prestation exclusivement pour l'activité du projet. (cible &lt; 30% du coût du projet)</w:t>
            </w:r>
          </w:p>
        </w:tc>
      </w:tr>
      <w:tr w:rsidR="00661A24" w14:paraId="19AEA1A3" w14:textId="77777777">
        <w:trPr>
          <w:trHeight w:val="1441"/>
        </w:trPr>
        <w:tc>
          <w:tcPr>
            <w:tcW w:w="1701" w:type="dxa"/>
            <w:vMerge/>
            <w:tcBorders>
              <w:left w:val="single" w:sz="4" w:space="0" w:color="auto"/>
            </w:tcBorders>
            <w:shd w:val="clear" w:color="auto" w:fill="F2F2F2" w:themeFill="background1" w:themeFillShade="F2"/>
          </w:tcPr>
          <w:p w14:paraId="48843E45"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1455C9F1" w14:textId="77777777" w:rsidR="00661A24" w:rsidRDefault="00AD6DC1">
            <w:pPr>
              <w:spacing w:after="120"/>
              <w:jc w:val="left"/>
              <w:rPr>
                <w:rFonts w:ascii="Marianne" w:hAnsi="Marianne"/>
                <w:sz w:val="20"/>
              </w:rPr>
            </w:pPr>
            <w:r>
              <w:rPr>
                <w:rFonts w:ascii="Marianne" w:hAnsi="Marianne"/>
                <w:sz w:val="20"/>
              </w:rPr>
              <w:t>Contribution aux amortissements</w:t>
            </w:r>
          </w:p>
        </w:tc>
        <w:tc>
          <w:tcPr>
            <w:tcW w:w="10064" w:type="dxa"/>
            <w:tcBorders>
              <w:top w:val="dotted" w:sz="4" w:space="0" w:color="000000"/>
              <w:bottom w:val="dotted" w:sz="4" w:space="0" w:color="000000"/>
              <w:right w:val="single" w:sz="4" w:space="0" w:color="auto"/>
            </w:tcBorders>
            <w:shd w:val="clear" w:color="auto" w:fill="auto"/>
            <w:vAlign w:val="center"/>
          </w:tcPr>
          <w:p w14:paraId="3A30D31B"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Coûts d'amortissements comptables des instruments et du matériel au prorata de leur utilisation dans le projet.</w:t>
            </w:r>
          </w:p>
          <w:p w14:paraId="7E1F8141" w14:textId="77777777" w:rsidR="00661A24" w:rsidRDefault="00AD6DC1">
            <w:pPr>
              <w:ind w:left="159"/>
              <w:rPr>
                <w:rFonts w:ascii="Marianne" w:hAnsi="Marianne"/>
                <w:i/>
                <w:sz w:val="20"/>
              </w:rPr>
            </w:pPr>
            <w:r>
              <w:rPr>
                <w:rFonts w:ascii="Marianne" w:hAnsi="Marianne"/>
                <w:i/>
                <w:sz w:val="20"/>
              </w:rPr>
              <w:t>Exemple : pour un équipement amorti de façon linéaire sur une durée de 10 ans, et utilisé durant 2 ans pour le projet, le montant éligible à une aide sera égal à 2/10 du montant total de l’investissement dans cet équipement.</w:t>
            </w:r>
          </w:p>
        </w:tc>
      </w:tr>
      <w:tr w:rsidR="00661A24" w14:paraId="148FF950" w14:textId="77777777">
        <w:trPr>
          <w:trHeight w:val="280"/>
        </w:trPr>
        <w:tc>
          <w:tcPr>
            <w:tcW w:w="1701" w:type="dxa"/>
            <w:vMerge/>
            <w:tcBorders>
              <w:left w:val="single" w:sz="4" w:space="0" w:color="auto"/>
            </w:tcBorders>
            <w:shd w:val="clear" w:color="auto" w:fill="F2F2F2" w:themeFill="background1" w:themeFillShade="F2"/>
          </w:tcPr>
          <w:p w14:paraId="5B7BA9FA"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3234CBC4" w14:textId="77777777" w:rsidR="00661A24" w:rsidRDefault="00AD6DC1">
            <w:pPr>
              <w:spacing w:after="120"/>
              <w:jc w:val="left"/>
              <w:rPr>
                <w:rFonts w:ascii="Marianne" w:hAnsi="Marianne"/>
                <w:sz w:val="20"/>
              </w:rPr>
            </w:pPr>
            <w:r>
              <w:rPr>
                <w:rFonts w:ascii="Marianne" w:hAnsi="Marianne"/>
                <w:sz w:val="20"/>
              </w:rPr>
              <w:t>Coûts de refacturation interne</w:t>
            </w:r>
          </w:p>
        </w:tc>
        <w:tc>
          <w:tcPr>
            <w:tcW w:w="10064" w:type="dxa"/>
            <w:tcBorders>
              <w:top w:val="dotted" w:sz="4" w:space="0" w:color="000000"/>
              <w:bottom w:val="dotted" w:sz="4" w:space="0" w:color="000000"/>
              <w:right w:val="single" w:sz="4" w:space="0" w:color="auto"/>
            </w:tcBorders>
            <w:shd w:val="clear" w:color="auto" w:fill="auto"/>
            <w:vAlign w:val="center"/>
          </w:tcPr>
          <w:p w14:paraId="2E79DFEB"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Sur la base de modalités de calcul détaillées et de la certification par un commissaire aux comptes ou expert-comptable. Pour des entreprises avec le même SIREN</w:t>
            </w:r>
          </w:p>
        </w:tc>
      </w:tr>
      <w:tr w:rsidR="00661A24" w14:paraId="484E430E" w14:textId="77777777">
        <w:trPr>
          <w:trHeight w:val="280"/>
        </w:trPr>
        <w:tc>
          <w:tcPr>
            <w:tcW w:w="1701" w:type="dxa"/>
            <w:vMerge/>
            <w:tcBorders>
              <w:left w:val="single" w:sz="4" w:space="0" w:color="auto"/>
            </w:tcBorders>
            <w:shd w:val="clear" w:color="auto" w:fill="F2F2F2" w:themeFill="background1" w:themeFillShade="F2"/>
          </w:tcPr>
          <w:p w14:paraId="725C3BB7"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576BCA86" w14:textId="77777777" w:rsidR="00661A24" w:rsidRDefault="00AD6DC1">
            <w:pPr>
              <w:spacing w:after="120"/>
              <w:jc w:val="left"/>
              <w:rPr>
                <w:rFonts w:ascii="Marianne" w:hAnsi="Marianne"/>
                <w:sz w:val="20"/>
              </w:rPr>
            </w:pPr>
            <w:r>
              <w:rPr>
                <w:rFonts w:ascii="Marianne" w:hAnsi="Marianne"/>
                <w:sz w:val="20"/>
              </w:rPr>
              <w:t>Frais de mission</w:t>
            </w:r>
          </w:p>
        </w:tc>
        <w:tc>
          <w:tcPr>
            <w:tcW w:w="10064" w:type="dxa"/>
            <w:tcBorders>
              <w:top w:val="dotted" w:sz="4" w:space="0" w:color="000000"/>
              <w:bottom w:val="dotted" w:sz="4" w:space="0" w:color="000000"/>
              <w:right w:val="single" w:sz="4" w:space="0" w:color="auto"/>
            </w:tcBorders>
            <w:shd w:val="clear" w:color="auto" w:fill="auto"/>
            <w:vAlign w:val="center"/>
          </w:tcPr>
          <w:p w14:paraId="5D455803"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Frais réels des déplacements liés à la réalisation du projet</w:t>
            </w:r>
          </w:p>
        </w:tc>
      </w:tr>
      <w:tr w:rsidR="00661A24" w14:paraId="65014EC7" w14:textId="77777777">
        <w:trPr>
          <w:trHeight w:val="280"/>
        </w:trPr>
        <w:tc>
          <w:tcPr>
            <w:tcW w:w="1701" w:type="dxa"/>
            <w:vMerge/>
            <w:tcBorders>
              <w:left w:val="single" w:sz="4" w:space="0" w:color="auto"/>
            </w:tcBorders>
            <w:shd w:val="clear" w:color="auto" w:fill="F2F2F2" w:themeFill="background1" w:themeFillShade="F2"/>
          </w:tcPr>
          <w:p w14:paraId="7D6F535D"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single" w:sz="4" w:space="0" w:color="auto"/>
            </w:tcBorders>
            <w:shd w:val="clear" w:color="auto" w:fill="F2F2F2" w:themeFill="background1" w:themeFillShade="F2"/>
            <w:vAlign w:val="center"/>
          </w:tcPr>
          <w:p w14:paraId="32DE0A7A" w14:textId="77777777" w:rsidR="00661A24" w:rsidRDefault="00AD6DC1">
            <w:pPr>
              <w:spacing w:after="120"/>
              <w:jc w:val="left"/>
              <w:rPr>
                <w:rFonts w:ascii="Marianne" w:hAnsi="Marianne"/>
                <w:sz w:val="20"/>
              </w:rPr>
            </w:pPr>
            <w:r>
              <w:rPr>
                <w:rFonts w:ascii="Marianne" w:hAnsi="Marianne"/>
                <w:sz w:val="20"/>
              </w:rPr>
              <w:t>Autres coûts</w:t>
            </w:r>
          </w:p>
        </w:tc>
        <w:tc>
          <w:tcPr>
            <w:tcW w:w="10064" w:type="dxa"/>
            <w:tcBorders>
              <w:top w:val="dotted" w:sz="4" w:space="0" w:color="000000"/>
              <w:bottom w:val="single" w:sz="4" w:space="0" w:color="auto"/>
              <w:right w:val="single" w:sz="4" w:space="0" w:color="auto"/>
            </w:tcBorders>
            <w:shd w:val="clear" w:color="auto" w:fill="auto"/>
            <w:vAlign w:val="center"/>
          </w:tcPr>
          <w:p w14:paraId="0B44AF2F"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Autres frais d'exploitation directement liés à l'activité du projet. (consommables non amortis dans les comptes)</w:t>
            </w:r>
          </w:p>
        </w:tc>
      </w:tr>
      <w:tr w:rsidR="00661A24" w14:paraId="59187D28" w14:textId="77777777">
        <w:trPr>
          <w:trHeight w:val="1123"/>
        </w:trPr>
        <w:tc>
          <w:tcPr>
            <w:tcW w:w="1701" w:type="dxa"/>
            <w:tcBorders>
              <w:left w:val="single" w:sz="4" w:space="0" w:color="auto"/>
              <w:bottom w:val="single" w:sz="4" w:space="0" w:color="auto"/>
            </w:tcBorders>
            <w:shd w:val="clear" w:color="auto" w:fill="F2F2F2" w:themeFill="background1" w:themeFillShade="F2"/>
          </w:tcPr>
          <w:p w14:paraId="7E3804AD" w14:textId="77777777" w:rsidR="00661A24" w:rsidRDefault="00AD6DC1">
            <w:pPr>
              <w:spacing w:after="120"/>
              <w:jc w:val="left"/>
              <w:rPr>
                <w:rFonts w:ascii="Marianne" w:hAnsi="Marianne"/>
              </w:rPr>
            </w:pPr>
            <w:r>
              <w:rPr>
                <w:rFonts w:ascii="Marianne" w:hAnsi="Marianne"/>
              </w:rPr>
              <w:t>Régime d’aide PE</w:t>
            </w:r>
            <w:r>
              <w:rPr>
                <w:rStyle w:val="Appelnotedebasdep"/>
                <w:rFonts w:ascii="Marianne" w:hAnsi="Marianne"/>
              </w:rPr>
              <w:footnoteReference w:id="5"/>
            </w:r>
          </w:p>
        </w:tc>
        <w:tc>
          <w:tcPr>
            <w:tcW w:w="3544" w:type="dxa"/>
            <w:tcBorders>
              <w:top w:val="single" w:sz="4" w:space="0" w:color="auto"/>
              <w:left w:val="single" w:sz="4" w:space="0" w:color="auto"/>
              <w:bottom w:val="single" w:sz="4" w:space="0" w:color="auto"/>
            </w:tcBorders>
            <w:shd w:val="clear" w:color="auto" w:fill="F2F2F2" w:themeFill="background1" w:themeFillShade="F2"/>
            <w:vAlign w:val="center"/>
          </w:tcPr>
          <w:p w14:paraId="46185FA0" w14:textId="77777777" w:rsidR="00661A24" w:rsidRDefault="00AD6DC1">
            <w:pPr>
              <w:spacing w:after="120"/>
              <w:jc w:val="left"/>
              <w:rPr>
                <w:rFonts w:ascii="Marianne" w:hAnsi="Marianne"/>
                <w:sz w:val="20"/>
              </w:rPr>
            </w:pPr>
            <w:r>
              <w:rPr>
                <w:rFonts w:ascii="Marianne" w:hAnsi="Marianne"/>
                <w:sz w:val="20"/>
              </w:rPr>
              <w:t>Coûts d’investissements</w:t>
            </w:r>
          </w:p>
        </w:tc>
        <w:tc>
          <w:tcPr>
            <w:tcW w:w="10064" w:type="dxa"/>
            <w:tcBorders>
              <w:top w:val="single" w:sz="4" w:space="0" w:color="auto"/>
              <w:bottom w:val="single" w:sz="4" w:space="0" w:color="auto"/>
              <w:right w:val="single" w:sz="4" w:space="0" w:color="auto"/>
            </w:tcBorders>
            <w:shd w:val="clear" w:color="auto" w:fill="auto"/>
            <w:vAlign w:val="center"/>
          </w:tcPr>
          <w:p w14:paraId="301963DA" w14:textId="77777777" w:rsidR="00661A24" w:rsidRDefault="00AD6DC1">
            <w:pPr>
              <w:numPr>
                <w:ilvl w:val="0"/>
                <w:numId w:val="1"/>
              </w:numPr>
              <w:pBdr>
                <w:top w:val="nil"/>
                <w:left w:val="nil"/>
                <w:bottom w:val="nil"/>
                <w:right w:val="nil"/>
                <w:between w:val="nil"/>
              </w:pBdr>
              <w:spacing w:after="0"/>
              <w:jc w:val="left"/>
              <w:rPr>
                <w:rFonts w:ascii="Marianne" w:hAnsi="Marianne"/>
                <w:sz w:val="20"/>
              </w:rPr>
            </w:pPr>
            <w:r>
              <w:rPr>
                <w:rFonts w:ascii="Marianne" w:hAnsi="Marianne"/>
                <w:sz w:val="20"/>
              </w:rPr>
              <w:t xml:space="preserve">Coûts d'investissement supplémentaires (surcoût) nécessaires pour atteindre un niveau de protection de l'environnement supérieur au niveau requis par les normes communautaires. Ce </w:t>
            </w:r>
            <w:r>
              <w:rPr>
                <w:rFonts w:ascii="Marianne" w:hAnsi="Marianne"/>
                <w:sz w:val="20"/>
              </w:rPr>
              <w:lastRenderedPageBreak/>
              <w:t>surcoût est calculé par rapport à une solution de référence</w:t>
            </w:r>
            <w:r>
              <w:rPr>
                <w:rStyle w:val="Appelnotedebasdep"/>
                <w:rFonts w:ascii="Marianne" w:hAnsi="Marianne"/>
                <w:sz w:val="20"/>
              </w:rPr>
              <w:footnoteReference w:id="6"/>
            </w:r>
            <w:r>
              <w:rPr>
                <w:rFonts w:ascii="Marianne" w:hAnsi="Marianne"/>
                <w:sz w:val="20"/>
              </w:rPr>
              <w:t>. Les coûts non directement liés à une augmentation du niveau de protection de l'environnement ne sont pas admissibles.</w:t>
            </w:r>
          </w:p>
        </w:tc>
      </w:tr>
    </w:tbl>
    <w:p w14:paraId="1B865501" w14:textId="77777777" w:rsidR="00661A24" w:rsidRDefault="00661A24">
      <w:pPr>
        <w:rPr>
          <w:rFonts w:ascii="Marianne" w:hAnsi="Marianne"/>
        </w:rPr>
        <w:sectPr w:rsidR="00661A24">
          <w:pgSz w:w="16838" w:h="11906" w:orient="landscape"/>
          <w:pgMar w:top="1134" w:right="1134" w:bottom="709" w:left="1134" w:header="567" w:footer="141" w:gutter="0"/>
          <w:cols w:space="720"/>
          <w:titlePg/>
          <w:docGrid w:linePitch="299"/>
        </w:sectPr>
      </w:pPr>
    </w:p>
    <w:p w14:paraId="0B77C94E" w14:textId="77777777" w:rsidR="00661A24" w:rsidRDefault="00AD6DC1">
      <w:pPr>
        <w:pStyle w:val="Titre2"/>
        <w:keepLines/>
        <w:spacing w:before="280" w:line="240" w:lineRule="auto"/>
        <w:jc w:val="left"/>
        <w:rPr>
          <w:rFonts w:ascii="Marianne" w:hAnsi="Marianne"/>
        </w:rPr>
      </w:pPr>
      <w:bookmarkStart w:id="68" w:name="_Toc10712182"/>
      <w:bookmarkStart w:id="69" w:name="_Toc74823241"/>
      <w:bookmarkStart w:id="70" w:name="_Toc75875337"/>
      <w:bookmarkStart w:id="71" w:name="_Toc140092172"/>
      <w:r>
        <w:rPr>
          <w:rFonts w:ascii="Marianne" w:hAnsi="Marianne"/>
        </w:rPr>
        <w:lastRenderedPageBreak/>
        <w:t>Aides proposées</w:t>
      </w:r>
      <w:bookmarkEnd w:id="68"/>
      <w:bookmarkEnd w:id="69"/>
      <w:bookmarkEnd w:id="70"/>
      <w:bookmarkEnd w:id="71"/>
    </w:p>
    <w:p w14:paraId="0D7262D2" w14:textId="77777777" w:rsidR="00661A24" w:rsidRDefault="00AD6DC1">
      <w:pPr>
        <w:pStyle w:val="Titre3"/>
        <w:spacing w:before="280" w:after="240"/>
        <w:jc w:val="left"/>
        <w:rPr>
          <w:rFonts w:ascii="Marianne" w:hAnsi="Marianne" w:cs="Arial"/>
          <w:color w:val="auto"/>
          <w:sz w:val="22"/>
        </w:rPr>
      </w:pPr>
      <w:bookmarkStart w:id="72" w:name="_Toc10647599"/>
      <w:bookmarkStart w:id="73" w:name="_Toc10650987"/>
      <w:bookmarkStart w:id="74" w:name="_Toc10651074"/>
      <w:r>
        <w:rPr>
          <w:rFonts w:ascii="Marianne" w:hAnsi="Marianne" w:cs="Arial"/>
          <w:color w:val="auto"/>
          <w:sz w:val="22"/>
        </w:rPr>
        <w:t>Aides proposées pour les activités économiques</w:t>
      </w:r>
      <w:bookmarkEnd w:id="72"/>
      <w:bookmarkEnd w:id="73"/>
      <w:bookmarkEnd w:id="74"/>
    </w:p>
    <w:p w14:paraId="7845CF94" w14:textId="77777777" w:rsidR="00661A24" w:rsidRDefault="00AD6DC1">
      <w:pPr>
        <w:spacing w:after="120"/>
        <w:rPr>
          <w:rFonts w:ascii="Marianne" w:hAnsi="Marianne"/>
        </w:rPr>
      </w:pPr>
      <w:r>
        <w:rPr>
          <w:rFonts w:ascii="Marianne" w:hAnsi="Marianne"/>
        </w:rPr>
        <w:t xml:space="preserve">Sont considérées comme « économiques » les activités des entités, généralement des entreprises, qui visent des retours financiers basés sur les résultats du projet (toute activité consistant à offrir des biens ou des services sur un marché, réel ou potentiel). </w:t>
      </w:r>
    </w:p>
    <w:p w14:paraId="293950EF" w14:textId="77777777" w:rsidR="00661A24" w:rsidRDefault="00661A24">
      <w:pPr>
        <w:spacing w:after="120"/>
        <w:rPr>
          <w:rFonts w:ascii="Marianne" w:hAnsi="Marianne"/>
        </w:rPr>
      </w:pPr>
    </w:p>
    <w:p w14:paraId="16E2B785" w14:textId="77777777" w:rsidR="00661A24" w:rsidRDefault="00AD6DC1">
      <w:pPr>
        <w:spacing w:after="120"/>
        <w:rPr>
          <w:rFonts w:ascii="Marianne" w:hAnsi="Marianne"/>
        </w:rPr>
      </w:pPr>
      <w:r>
        <w:rPr>
          <w:rFonts w:ascii="Marianne" w:hAnsi="Marianne"/>
        </w:rPr>
        <w:t xml:space="preserve">Les taux d’aide maximum applicables sont les suivants : </w:t>
      </w:r>
    </w:p>
    <w:tbl>
      <w:tblPr>
        <w:tblpPr w:leftFromText="141" w:rightFromText="141" w:vertAnchor="text" w:horzAnchor="margin" w:tblpXSpec="center" w:tblpY="41"/>
        <w:tblW w:w="6014"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650"/>
        <w:gridCol w:w="1118"/>
        <w:gridCol w:w="1645"/>
        <w:gridCol w:w="1598"/>
        <w:gridCol w:w="1645"/>
        <w:gridCol w:w="1410"/>
        <w:gridCol w:w="1831"/>
      </w:tblGrid>
      <w:tr w:rsidR="00661A24" w14:paraId="608BDC5C" w14:textId="77777777">
        <w:trPr>
          <w:trHeight w:val="444"/>
        </w:trPr>
        <w:tc>
          <w:tcPr>
            <w:tcW w:w="75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2A722DD" w14:textId="77777777" w:rsidR="00661A24" w:rsidRDefault="00AD6DC1">
            <w:pPr>
              <w:spacing w:after="0"/>
              <w:jc w:val="center"/>
              <w:rPr>
                <w:rFonts w:ascii="Marianne" w:hAnsi="Marianne"/>
                <w:sz w:val="20"/>
                <w:szCs w:val="20"/>
              </w:rPr>
            </w:pPr>
            <w:r>
              <w:rPr>
                <w:rFonts w:ascii="Marianne" w:hAnsi="Marianne"/>
                <w:sz w:val="20"/>
                <w:szCs w:val="20"/>
              </w:rPr>
              <w:t>Taille de l’entreprise</w:t>
            </w:r>
            <w:r>
              <w:rPr>
                <w:rStyle w:val="Appelnotedebasdep"/>
                <w:rFonts w:ascii="Marianne" w:hAnsi="Marianne"/>
                <w:sz w:val="20"/>
                <w:szCs w:val="20"/>
              </w:rPr>
              <w:footnoteReference w:id="7"/>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0F13EF2" w14:textId="77777777" w:rsidR="00661A24" w:rsidRDefault="00AD6DC1">
            <w:pPr>
              <w:spacing w:after="0"/>
              <w:jc w:val="center"/>
              <w:rPr>
                <w:rFonts w:ascii="Marianne" w:hAnsi="Marianne"/>
                <w:sz w:val="20"/>
                <w:szCs w:val="20"/>
              </w:rPr>
            </w:pPr>
            <w:r>
              <w:rPr>
                <w:rFonts w:ascii="Marianne" w:hAnsi="Marianne"/>
                <w:sz w:val="20"/>
                <w:szCs w:val="20"/>
              </w:rPr>
              <w:t>Nature de l’aide</w:t>
            </w:r>
          </w:p>
        </w:tc>
        <w:tc>
          <w:tcPr>
            <w:tcW w:w="148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088868" w14:textId="77777777" w:rsidR="00661A24" w:rsidRDefault="00AD6DC1">
            <w:pPr>
              <w:spacing w:after="0"/>
              <w:jc w:val="center"/>
              <w:rPr>
                <w:rFonts w:ascii="Marianne" w:hAnsi="Marianne"/>
                <w:sz w:val="20"/>
                <w:szCs w:val="20"/>
              </w:rPr>
            </w:pPr>
            <w:r>
              <w:rPr>
                <w:rFonts w:ascii="Marianne" w:hAnsi="Marianne"/>
                <w:sz w:val="20"/>
                <w:szCs w:val="20"/>
              </w:rPr>
              <w:t>Taux d’aide sur dépenses RI</w:t>
            </w:r>
          </w:p>
        </w:tc>
        <w:tc>
          <w:tcPr>
            <w:tcW w:w="140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65C3FE" w14:textId="77777777" w:rsidR="00661A24" w:rsidRDefault="00AD6DC1">
            <w:pPr>
              <w:spacing w:after="0"/>
              <w:jc w:val="center"/>
              <w:rPr>
                <w:rFonts w:ascii="Marianne" w:hAnsi="Marianne"/>
                <w:sz w:val="20"/>
                <w:szCs w:val="20"/>
              </w:rPr>
            </w:pPr>
            <w:r>
              <w:rPr>
                <w:rFonts w:ascii="Marianne" w:hAnsi="Marianne"/>
                <w:sz w:val="20"/>
                <w:szCs w:val="20"/>
              </w:rPr>
              <w:t>Taux d’aide sur dépenses DE</w:t>
            </w:r>
          </w:p>
        </w:tc>
        <w:tc>
          <w:tcPr>
            <w:tcW w:w="840" w:type="pct"/>
            <w:vMerge w:val="restart"/>
            <w:tcBorders>
              <w:top w:val="single" w:sz="4" w:space="0" w:color="auto"/>
              <w:left w:val="single" w:sz="4" w:space="0" w:color="auto"/>
              <w:right w:val="single" w:sz="4" w:space="0" w:color="auto"/>
            </w:tcBorders>
            <w:shd w:val="clear" w:color="auto" w:fill="D9D9D9"/>
            <w:vAlign w:val="center"/>
          </w:tcPr>
          <w:p w14:paraId="371CA251" w14:textId="77777777" w:rsidR="00661A24" w:rsidRDefault="00AD6DC1">
            <w:pPr>
              <w:spacing w:after="0"/>
              <w:jc w:val="center"/>
              <w:rPr>
                <w:rFonts w:ascii="Marianne" w:hAnsi="Marianne"/>
                <w:sz w:val="20"/>
                <w:szCs w:val="20"/>
              </w:rPr>
            </w:pPr>
            <w:r>
              <w:rPr>
                <w:rFonts w:ascii="Marianne" w:hAnsi="Marianne"/>
                <w:sz w:val="20"/>
                <w:szCs w:val="20"/>
              </w:rPr>
              <w:t>Taux d’aide sur dépenses Protection Environnement</w:t>
            </w:r>
          </w:p>
        </w:tc>
      </w:tr>
      <w:tr w:rsidR="00661A24" w14:paraId="7755D36C" w14:textId="77777777">
        <w:trPr>
          <w:trHeight w:val="586"/>
        </w:trPr>
        <w:tc>
          <w:tcPr>
            <w:tcW w:w="757" w:type="pct"/>
            <w:vMerge/>
            <w:tcBorders>
              <w:top w:val="dotted" w:sz="4" w:space="0" w:color="000000"/>
              <w:left w:val="single" w:sz="4" w:space="0" w:color="auto"/>
              <w:bottom w:val="single" w:sz="4" w:space="0" w:color="auto"/>
              <w:right w:val="single" w:sz="4" w:space="0" w:color="auto"/>
            </w:tcBorders>
            <w:shd w:val="clear" w:color="auto" w:fill="D9D9D9"/>
            <w:vAlign w:val="center"/>
          </w:tcPr>
          <w:p w14:paraId="70919494" w14:textId="77777777" w:rsidR="00661A24" w:rsidRDefault="00661A24">
            <w:pPr>
              <w:widowControl w:val="0"/>
              <w:pBdr>
                <w:top w:val="nil"/>
                <w:left w:val="nil"/>
                <w:bottom w:val="nil"/>
                <w:right w:val="nil"/>
                <w:between w:val="nil"/>
              </w:pBdr>
              <w:spacing w:after="0"/>
              <w:jc w:val="center"/>
              <w:rPr>
                <w:rFonts w:ascii="Marianne" w:hAnsi="Marianne"/>
                <w:sz w:val="20"/>
                <w:szCs w:val="20"/>
              </w:rPr>
            </w:pPr>
          </w:p>
        </w:tc>
        <w:tc>
          <w:tcPr>
            <w:tcW w:w="513" w:type="pct"/>
            <w:vMerge/>
            <w:tcBorders>
              <w:top w:val="dotted" w:sz="4" w:space="0" w:color="000000"/>
              <w:left w:val="single" w:sz="4" w:space="0" w:color="auto"/>
              <w:bottom w:val="single" w:sz="4" w:space="0" w:color="auto"/>
              <w:right w:val="single" w:sz="4" w:space="0" w:color="auto"/>
            </w:tcBorders>
            <w:shd w:val="clear" w:color="auto" w:fill="D9D9D9"/>
            <w:vAlign w:val="center"/>
          </w:tcPr>
          <w:p w14:paraId="1BFDE5D5" w14:textId="77777777" w:rsidR="00661A24" w:rsidRDefault="00661A24">
            <w:pPr>
              <w:widowControl w:val="0"/>
              <w:pBdr>
                <w:top w:val="nil"/>
                <w:left w:val="nil"/>
                <w:bottom w:val="nil"/>
                <w:right w:val="nil"/>
                <w:between w:val="nil"/>
              </w:pBdr>
              <w:spacing w:after="0"/>
              <w:jc w:val="center"/>
              <w:rPr>
                <w:rFonts w:ascii="Marianne" w:hAnsi="Marianne"/>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D9D9D9"/>
            <w:vAlign w:val="center"/>
          </w:tcPr>
          <w:p w14:paraId="7666DDCA" w14:textId="77777777" w:rsidR="00661A24" w:rsidRDefault="00AD6DC1">
            <w:pPr>
              <w:spacing w:after="0"/>
              <w:jc w:val="center"/>
              <w:rPr>
                <w:rFonts w:ascii="Marianne" w:hAnsi="Marianne"/>
                <w:sz w:val="20"/>
                <w:szCs w:val="20"/>
              </w:rPr>
            </w:pPr>
            <w:r>
              <w:rPr>
                <w:rFonts w:ascii="Marianne" w:hAnsi="Marianne"/>
                <w:sz w:val="20"/>
                <w:szCs w:val="20"/>
              </w:rPr>
              <w:t>Collaboratif</w:t>
            </w: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63577E2D" w14:textId="77777777" w:rsidR="00661A24" w:rsidRDefault="00AD6DC1">
            <w:pPr>
              <w:spacing w:after="0"/>
              <w:jc w:val="center"/>
              <w:rPr>
                <w:rFonts w:ascii="Marianne" w:hAnsi="Marianne"/>
                <w:sz w:val="20"/>
                <w:szCs w:val="20"/>
              </w:rPr>
            </w:pPr>
            <w:r>
              <w:rPr>
                <w:rFonts w:ascii="Marianne" w:hAnsi="Marianne"/>
                <w:sz w:val="20"/>
                <w:szCs w:val="20"/>
              </w:rPr>
              <w:t>Non collaboratif</w:t>
            </w:r>
          </w:p>
        </w:tc>
        <w:tc>
          <w:tcPr>
            <w:tcW w:w="755" w:type="pct"/>
            <w:tcBorders>
              <w:top w:val="single" w:sz="4" w:space="0" w:color="auto"/>
              <w:left w:val="single" w:sz="4" w:space="0" w:color="auto"/>
              <w:bottom w:val="single" w:sz="4" w:space="0" w:color="auto"/>
              <w:right w:val="single" w:sz="4" w:space="0" w:color="auto"/>
            </w:tcBorders>
            <w:shd w:val="clear" w:color="auto" w:fill="D9D9D9"/>
            <w:vAlign w:val="center"/>
          </w:tcPr>
          <w:p w14:paraId="2E905E7D" w14:textId="77777777" w:rsidR="00661A24" w:rsidRDefault="00AD6DC1">
            <w:pPr>
              <w:spacing w:after="0"/>
              <w:jc w:val="center"/>
              <w:rPr>
                <w:rFonts w:ascii="Marianne" w:hAnsi="Marianne"/>
                <w:sz w:val="20"/>
                <w:szCs w:val="20"/>
              </w:rPr>
            </w:pPr>
            <w:r>
              <w:rPr>
                <w:rFonts w:ascii="Marianne" w:hAnsi="Marianne"/>
                <w:sz w:val="20"/>
                <w:szCs w:val="20"/>
              </w:rPr>
              <w:t>Collaboratif</w:t>
            </w:r>
          </w:p>
        </w:tc>
        <w:tc>
          <w:tcPr>
            <w:tcW w:w="647" w:type="pct"/>
            <w:tcBorders>
              <w:top w:val="single" w:sz="4" w:space="0" w:color="auto"/>
              <w:left w:val="single" w:sz="4" w:space="0" w:color="auto"/>
              <w:bottom w:val="single" w:sz="4" w:space="0" w:color="auto"/>
              <w:right w:val="single" w:sz="4" w:space="0" w:color="auto"/>
            </w:tcBorders>
            <w:shd w:val="clear" w:color="auto" w:fill="D9D9D9"/>
            <w:vAlign w:val="center"/>
          </w:tcPr>
          <w:p w14:paraId="7385A897" w14:textId="77777777" w:rsidR="00661A24" w:rsidRDefault="00AD6DC1">
            <w:pPr>
              <w:spacing w:after="0"/>
              <w:jc w:val="center"/>
              <w:rPr>
                <w:rFonts w:ascii="Marianne" w:hAnsi="Marianne"/>
                <w:sz w:val="20"/>
                <w:szCs w:val="20"/>
              </w:rPr>
            </w:pPr>
            <w:r>
              <w:rPr>
                <w:rFonts w:ascii="Marianne" w:hAnsi="Marianne"/>
                <w:sz w:val="20"/>
                <w:szCs w:val="20"/>
              </w:rPr>
              <w:t>Non collaboratif</w:t>
            </w:r>
          </w:p>
        </w:tc>
        <w:tc>
          <w:tcPr>
            <w:tcW w:w="840" w:type="pct"/>
            <w:vMerge/>
            <w:tcBorders>
              <w:left w:val="single" w:sz="4" w:space="0" w:color="auto"/>
              <w:bottom w:val="single" w:sz="4" w:space="0" w:color="auto"/>
              <w:right w:val="single" w:sz="4" w:space="0" w:color="auto"/>
            </w:tcBorders>
            <w:shd w:val="clear" w:color="auto" w:fill="D9D9D9"/>
            <w:vAlign w:val="center"/>
          </w:tcPr>
          <w:p w14:paraId="69A1981F" w14:textId="77777777" w:rsidR="00661A24" w:rsidRDefault="00661A24">
            <w:pPr>
              <w:spacing w:after="0"/>
              <w:jc w:val="center"/>
              <w:rPr>
                <w:rFonts w:ascii="Marianne" w:hAnsi="Marianne"/>
                <w:sz w:val="20"/>
                <w:szCs w:val="20"/>
              </w:rPr>
            </w:pPr>
          </w:p>
        </w:tc>
      </w:tr>
      <w:tr w:rsidR="00661A24" w14:paraId="45DA1814" w14:textId="77777777">
        <w:trPr>
          <w:trHeight w:val="917"/>
        </w:trPr>
        <w:tc>
          <w:tcPr>
            <w:tcW w:w="7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9CC13C" w14:textId="77777777" w:rsidR="00661A24" w:rsidRDefault="00AD6DC1">
            <w:pPr>
              <w:spacing w:after="0"/>
              <w:jc w:val="center"/>
              <w:rPr>
                <w:rFonts w:ascii="Marianne" w:hAnsi="Marianne"/>
                <w:sz w:val="20"/>
                <w:szCs w:val="20"/>
              </w:rPr>
            </w:pPr>
            <w:r>
              <w:rPr>
                <w:rFonts w:ascii="Marianne" w:hAnsi="Marianne"/>
                <w:sz w:val="20"/>
                <w:szCs w:val="20"/>
              </w:rPr>
              <w:t>GE et ETI</w:t>
            </w:r>
          </w:p>
          <w:p w14:paraId="42ADDCF5" w14:textId="77777777" w:rsidR="00661A24" w:rsidRDefault="00AD6DC1">
            <w:pPr>
              <w:spacing w:after="0"/>
              <w:jc w:val="center"/>
              <w:rPr>
                <w:rFonts w:ascii="Marianne" w:hAnsi="Marianne"/>
                <w:sz w:val="20"/>
                <w:szCs w:val="20"/>
              </w:rPr>
            </w:pPr>
            <w:r>
              <w:rPr>
                <w:rFonts w:ascii="Marianne" w:hAnsi="Marianne"/>
                <w:sz w:val="20"/>
                <w:szCs w:val="20"/>
              </w:rPr>
              <w:t>Grande Entreprise et Entreprise de Taille Intermédiaire</w:t>
            </w:r>
          </w:p>
        </w:tc>
        <w:tc>
          <w:tcPr>
            <w:tcW w:w="5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028BC1" w14:textId="77777777" w:rsidR="00661A24" w:rsidRDefault="00AD6DC1">
            <w:pPr>
              <w:spacing w:after="0"/>
              <w:jc w:val="center"/>
              <w:rPr>
                <w:rFonts w:ascii="Marianne" w:hAnsi="Marianne"/>
                <w:sz w:val="20"/>
                <w:szCs w:val="20"/>
              </w:rPr>
            </w:pPr>
            <w:r>
              <w:rPr>
                <w:rFonts w:ascii="Marianne" w:hAnsi="Marianne"/>
                <w:sz w:val="20"/>
                <w:szCs w:val="20"/>
              </w:rPr>
              <w:t>Mix AR/SUB</w:t>
            </w:r>
          </w:p>
        </w:tc>
        <w:tc>
          <w:tcPr>
            <w:tcW w:w="755" w:type="pct"/>
            <w:tcBorders>
              <w:top w:val="single" w:sz="4" w:space="0" w:color="auto"/>
              <w:left w:val="single" w:sz="4" w:space="0" w:color="auto"/>
              <w:bottom w:val="single" w:sz="4" w:space="0" w:color="auto"/>
              <w:right w:val="single" w:sz="4" w:space="0" w:color="auto"/>
            </w:tcBorders>
            <w:vAlign w:val="center"/>
          </w:tcPr>
          <w:p w14:paraId="33B84268" w14:textId="77777777" w:rsidR="00661A24" w:rsidRDefault="00AD6DC1">
            <w:pPr>
              <w:spacing w:after="0"/>
              <w:jc w:val="center"/>
              <w:rPr>
                <w:rFonts w:ascii="Marianne" w:hAnsi="Marianne"/>
                <w:sz w:val="20"/>
                <w:szCs w:val="20"/>
              </w:rPr>
            </w:pPr>
            <w:r>
              <w:rPr>
                <w:rFonts w:ascii="Marianne" w:hAnsi="Marianne"/>
                <w:sz w:val="20"/>
                <w:szCs w:val="20"/>
              </w:rPr>
              <w:t>65%</w:t>
            </w:r>
          </w:p>
        </w:tc>
        <w:tc>
          <w:tcPr>
            <w:tcW w:w="733" w:type="pct"/>
            <w:tcBorders>
              <w:top w:val="single" w:sz="4" w:space="0" w:color="auto"/>
              <w:left w:val="single" w:sz="4" w:space="0" w:color="auto"/>
              <w:bottom w:val="single" w:sz="4" w:space="0" w:color="auto"/>
              <w:right w:val="single" w:sz="4" w:space="0" w:color="auto"/>
            </w:tcBorders>
            <w:vAlign w:val="center"/>
          </w:tcPr>
          <w:p w14:paraId="3ED85AB6" w14:textId="77777777" w:rsidR="00661A24" w:rsidRDefault="00AD6DC1">
            <w:pPr>
              <w:spacing w:after="0"/>
              <w:jc w:val="center"/>
              <w:rPr>
                <w:rFonts w:ascii="Marianne" w:hAnsi="Marianne"/>
                <w:sz w:val="20"/>
                <w:szCs w:val="20"/>
              </w:rPr>
            </w:pPr>
            <w:r>
              <w:rPr>
                <w:rFonts w:ascii="Marianne" w:hAnsi="Marianne"/>
                <w:sz w:val="20"/>
                <w:szCs w:val="20"/>
              </w:rPr>
              <w:t>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0D1CC42C" w14:textId="77777777" w:rsidR="00661A24" w:rsidRDefault="00AD6DC1">
            <w:pPr>
              <w:spacing w:after="0"/>
              <w:jc w:val="center"/>
              <w:rPr>
                <w:rFonts w:ascii="Marianne" w:hAnsi="Marianne"/>
                <w:sz w:val="20"/>
                <w:szCs w:val="20"/>
              </w:rPr>
            </w:pPr>
            <w:r>
              <w:rPr>
                <w:rFonts w:ascii="Marianne" w:hAnsi="Marianne"/>
                <w:sz w:val="20"/>
                <w:szCs w:val="20"/>
              </w:rPr>
              <w:t>40 %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39E8D79" w14:textId="77777777" w:rsidR="00661A24" w:rsidRDefault="00AD6DC1">
            <w:pPr>
              <w:spacing w:after="0"/>
              <w:jc w:val="center"/>
              <w:rPr>
                <w:rFonts w:ascii="Marianne" w:hAnsi="Marianne"/>
                <w:sz w:val="20"/>
                <w:szCs w:val="20"/>
              </w:rPr>
            </w:pPr>
            <w:r>
              <w:rPr>
                <w:rFonts w:ascii="Marianne" w:hAnsi="Marianne"/>
                <w:sz w:val="20"/>
                <w:szCs w:val="20"/>
              </w:rPr>
              <w:t>25 %</w:t>
            </w:r>
          </w:p>
        </w:tc>
        <w:tc>
          <w:tcPr>
            <w:tcW w:w="840" w:type="pct"/>
            <w:tcBorders>
              <w:top w:val="single" w:sz="4" w:space="0" w:color="auto"/>
              <w:bottom w:val="single" w:sz="4" w:space="0" w:color="auto"/>
              <w:right w:val="single" w:sz="4" w:space="0" w:color="auto"/>
            </w:tcBorders>
            <w:vAlign w:val="center"/>
          </w:tcPr>
          <w:p w14:paraId="14A62B5C" w14:textId="77777777" w:rsidR="00661A24" w:rsidRDefault="00AD6DC1">
            <w:pPr>
              <w:spacing w:after="0"/>
              <w:jc w:val="center"/>
              <w:rPr>
                <w:rFonts w:ascii="Marianne" w:hAnsi="Marianne"/>
                <w:sz w:val="20"/>
                <w:szCs w:val="20"/>
              </w:rPr>
            </w:pPr>
            <w:r>
              <w:rPr>
                <w:rFonts w:ascii="Marianne" w:hAnsi="Marianne"/>
                <w:sz w:val="20"/>
                <w:szCs w:val="20"/>
              </w:rPr>
              <w:t>40 %</w:t>
            </w:r>
          </w:p>
        </w:tc>
      </w:tr>
      <w:tr w:rsidR="00661A24" w14:paraId="7AC9A79A" w14:textId="77777777">
        <w:trPr>
          <w:trHeight w:val="917"/>
        </w:trPr>
        <w:tc>
          <w:tcPr>
            <w:tcW w:w="7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A7ED2" w14:textId="77777777" w:rsidR="00661A24" w:rsidRDefault="00AD6DC1">
            <w:pPr>
              <w:spacing w:after="0"/>
              <w:jc w:val="center"/>
              <w:rPr>
                <w:rFonts w:ascii="Marianne" w:hAnsi="Marianne"/>
                <w:sz w:val="20"/>
                <w:szCs w:val="20"/>
              </w:rPr>
            </w:pPr>
            <w:r>
              <w:rPr>
                <w:rFonts w:ascii="Marianne" w:hAnsi="Marianne"/>
                <w:sz w:val="20"/>
                <w:szCs w:val="20"/>
              </w:rPr>
              <w:t>ME</w:t>
            </w:r>
          </w:p>
          <w:p w14:paraId="0B402A0A" w14:textId="77777777" w:rsidR="00661A24" w:rsidRDefault="00AD6DC1">
            <w:pPr>
              <w:spacing w:after="0"/>
              <w:jc w:val="center"/>
              <w:rPr>
                <w:rFonts w:ascii="Marianne" w:hAnsi="Marianne"/>
                <w:sz w:val="20"/>
                <w:szCs w:val="20"/>
              </w:rPr>
            </w:pPr>
            <w:r>
              <w:rPr>
                <w:rFonts w:ascii="Marianne" w:hAnsi="Marianne"/>
                <w:sz w:val="20"/>
                <w:szCs w:val="20"/>
              </w:rPr>
              <w:t>Entreprise moyenne</w:t>
            </w:r>
          </w:p>
        </w:tc>
        <w:tc>
          <w:tcPr>
            <w:tcW w:w="5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97CC1" w14:textId="77777777" w:rsidR="00661A24" w:rsidRDefault="00AD6DC1">
            <w:pPr>
              <w:spacing w:after="0"/>
              <w:jc w:val="center"/>
              <w:rPr>
                <w:rFonts w:ascii="Marianne" w:hAnsi="Marianne"/>
                <w:sz w:val="20"/>
                <w:szCs w:val="20"/>
              </w:rPr>
            </w:pPr>
            <w:r>
              <w:rPr>
                <w:rFonts w:ascii="Marianne" w:hAnsi="Marianne"/>
                <w:sz w:val="20"/>
                <w:szCs w:val="20"/>
              </w:rPr>
              <w:t>Mix AR/SUB</w:t>
            </w:r>
          </w:p>
        </w:tc>
        <w:tc>
          <w:tcPr>
            <w:tcW w:w="755" w:type="pct"/>
            <w:tcBorders>
              <w:top w:val="single" w:sz="4" w:space="0" w:color="auto"/>
              <w:left w:val="single" w:sz="4" w:space="0" w:color="auto"/>
              <w:bottom w:val="single" w:sz="4" w:space="0" w:color="auto"/>
              <w:right w:val="single" w:sz="4" w:space="0" w:color="auto"/>
            </w:tcBorders>
            <w:vAlign w:val="center"/>
          </w:tcPr>
          <w:p w14:paraId="1653B7A8" w14:textId="77777777" w:rsidR="00661A24" w:rsidRDefault="00AD6DC1">
            <w:pPr>
              <w:spacing w:after="0"/>
              <w:jc w:val="center"/>
              <w:rPr>
                <w:rFonts w:ascii="Marianne" w:hAnsi="Marianne"/>
                <w:sz w:val="20"/>
                <w:szCs w:val="20"/>
              </w:rPr>
            </w:pPr>
            <w:r>
              <w:rPr>
                <w:rFonts w:ascii="Marianne" w:hAnsi="Marianne"/>
                <w:sz w:val="20"/>
                <w:szCs w:val="20"/>
              </w:rPr>
              <w:t>75%</w:t>
            </w:r>
          </w:p>
        </w:tc>
        <w:tc>
          <w:tcPr>
            <w:tcW w:w="733" w:type="pct"/>
            <w:tcBorders>
              <w:top w:val="single" w:sz="4" w:space="0" w:color="auto"/>
              <w:left w:val="single" w:sz="4" w:space="0" w:color="auto"/>
              <w:bottom w:val="single" w:sz="4" w:space="0" w:color="auto"/>
              <w:right w:val="single" w:sz="4" w:space="0" w:color="auto"/>
            </w:tcBorders>
            <w:vAlign w:val="center"/>
          </w:tcPr>
          <w:p w14:paraId="24B95CB5" w14:textId="77777777" w:rsidR="00661A24" w:rsidRDefault="00AD6DC1">
            <w:pPr>
              <w:spacing w:after="0"/>
              <w:jc w:val="center"/>
              <w:rPr>
                <w:rFonts w:ascii="Marianne" w:hAnsi="Marianne"/>
                <w:sz w:val="20"/>
                <w:szCs w:val="20"/>
              </w:rPr>
            </w:pPr>
            <w:r>
              <w:rPr>
                <w:rFonts w:ascii="Marianne" w:hAnsi="Marianne"/>
                <w:sz w:val="20"/>
                <w:szCs w:val="20"/>
              </w:rPr>
              <w:t>60%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762659D4" w14:textId="77777777" w:rsidR="00661A24" w:rsidRDefault="00AD6DC1">
            <w:pPr>
              <w:spacing w:after="0"/>
              <w:jc w:val="center"/>
              <w:rPr>
                <w:rFonts w:ascii="Marianne" w:hAnsi="Marianne"/>
                <w:sz w:val="20"/>
                <w:szCs w:val="20"/>
              </w:rPr>
            </w:pPr>
            <w:r>
              <w:rPr>
                <w:rFonts w:ascii="Marianne" w:hAnsi="Marianne"/>
                <w:sz w:val="20"/>
                <w:szCs w:val="20"/>
              </w:rPr>
              <w:t>50 %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850FE32" w14:textId="77777777" w:rsidR="00661A24" w:rsidRDefault="00AD6DC1">
            <w:pPr>
              <w:spacing w:after="0"/>
              <w:jc w:val="center"/>
              <w:rPr>
                <w:rFonts w:ascii="Marianne" w:hAnsi="Marianne"/>
                <w:sz w:val="20"/>
                <w:szCs w:val="20"/>
              </w:rPr>
            </w:pPr>
            <w:r>
              <w:rPr>
                <w:rFonts w:ascii="Marianne" w:hAnsi="Marianne"/>
                <w:sz w:val="20"/>
                <w:szCs w:val="20"/>
              </w:rPr>
              <w:t>35 %</w:t>
            </w:r>
          </w:p>
        </w:tc>
        <w:tc>
          <w:tcPr>
            <w:tcW w:w="840" w:type="pct"/>
            <w:tcBorders>
              <w:top w:val="single" w:sz="4" w:space="0" w:color="auto"/>
              <w:bottom w:val="single" w:sz="4" w:space="0" w:color="auto"/>
              <w:right w:val="single" w:sz="4" w:space="0" w:color="auto"/>
            </w:tcBorders>
            <w:vAlign w:val="center"/>
          </w:tcPr>
          <w:p w14:paraId="16349876" w14:textId="77777777" w:rsidR="00661A24" w:rsidRDefault="00AD6DC1">
            <w:pPr>
              <w:spacing w:after="0"/>
              <w:jc w:val="center"/>
              <w:rPr>
                <w:rFonts w:ascii="Marianne" w:hAnsi="Marianne"/>
                <w:sz w:val="20"/>
                <w:szCs w:val="20"/>
              </w:rPr>
            </w:pPr>
            <w:r>
              <w:rPr>
                <w:rFonts w:ascii="Marianne" w:hAnsi="Marianne"/>
                <w:sz w:val="20"/>
                <w:szCs w:val="20"/>
              </w:rPr>
              <w:t>50 %</w:t>
            </w:r>
          </w:p>
        </w:tc>
      </w:tr>
      <w:tr w:rsidR="00661A24" w14:paraId="6802FEB7" w14:textId="77777777">
        <w:trPr>
          <w:trHeight w:val="917"/>
        </w:trPr>
        <w:tc>
          <w:tcPr>
            <w:tcW w:w="7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2FBCC0" w14:textId="77777777" w:rsidR="00661A24" w:rsidRDefault="00AD6DC1">
            <w:pPr>
              <w:pBdr>
                <w:top w:val="nil"/>
                <w:left w:val="nil"/>
                <w:bottom w:val="nil"/>
                <w:right w:val="nil"/>
                <w:between w:val="nil"/>
              </w:pBdr>
              <w:spacing w:after="0"/>
              <w:jc w:val="center"/>
              <w:rPr>
                <w:rFonts w:ascii="Marianne" w:hAnsi="Marianne"/>
                <w:sz w:val="20"/>
                <w:szCs w:val="20"/>
              </w:rPr>
            </w:pPr>
            <w:r>
              <w:rPr>
                <w:rFonts w:ascii="Marianne" w:hAnsi="Marianne"/>
                <w:sz w:val="20"/>
                <w:szCs w:val="20"/>
              </w:rPr>
              <w:t>PE</w:t>
            </w:r>
          </w:p>
          <w:p w14:paraId="3368EAB1" w14:textId="77777777" w:rsidR="00661A24" w:rsidRDefault="00AD6DC1">
            <w:pPr>
              <w:widowControl w:val="0"/>
              <w:pBdr>
                <w:top w:val="nil"/>
                <w:left w:val="nil"/>
                <w:bottom w:val="nil"/>
                <w:right w:val="nil"/>
                <w:between w:val="nil"/>
              </w:pBdr>
              <w:spacing w:after="0"/>
              <w:jc w:val="center"/>
              <w:rPr>
                <w:rFonts w:ascii="Marianne" w:hAnsi="Marianne"/>
                <w:sz w:val="20"/>
                <w:szCs w:val="20"/>
              </w:rPr>
            </w:pPr>
            <w:r>
              <w:rPr>
                <w:rFonts w:ascii="Marianne" w:hAnsi="Marianne"/>
                <w:sz w:val="20"/>
                <w:szCs w:val="20"/>
              </w:rPr>
              <w:t>Petite entreprise</w:t>
            </w:r>
          </w:p>
        </w:tc>
        <w:tc>
          <w:tcPr>
            <w:tcW w:w="5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05314" w14:textId="77777777" w:rsidR="00661A24" w:rsidRDefault="00AD6DC1">
            <w:pPr>
              <w:spacing w:after="0"/>
              <w:jc w:val="center"/>
              <w:rPr>
                <w:rFonts w:ascii="Marianne" w:hAnsi="Marianne"/>
                <w:sz w:val="20"/>
                <w:szCs w:val="20"/>
              </w:rPr>
            </w:pPr>
            <w:r>
              <w:rPr>
                <w:rFonts w:ascii="Marianne" w:hAnsi="Marianne"/>
                <w:sz w:val="20"/>
                <w:szCs w:val="20"/>
              </w:rPr>
              <w:t>Mix AR/SUB</w:t>
            </w:r>
          </w:p>
        </w:tc>
        <w:tc>
          <w:tcPr>
            <w:tcW w:w="755" w:type="pct"/>
            <w:tcBorders>
              <w:top w:val="single" w:sz="4" w:space="0" w:color="auto"/>
              <w:left w:val="single" w:sz="4" w:space="0" w:color="auto"/>
              <w:bottom w:val="single" w:sz="4" w:space="0" w:color="auto"/>
              <w:right w:val="single" w:sz="4" w:space="0" w:color="auto"/>
            </w:tcBorders>
            <w:vAlign w:val="center"/>
          </w:tcPr>
          <w:p w14:paraId="36800ABF" w14:textId="77777777" w:rsidR="00661A24" w:rsidRDefault="00AD6DC1">
            <w:pPr>
              <w:spacing w:after="0"/>
              <w:jc w:val="center"/>
              <w:rPr>
                <w:rFonts w:ascii="Marianne" w:hAnsi="Marianne"/>
                <w:sz w:val="20"/>
                <w:szCs w:val="20"/>
              </w:rPr>
            </w:pPr>
            <w:r>
              <w:rPr>
                <w:rFonts w:ascii="Marianne" w:hAnsi="Marianne"/>
                <w:sz w:val="20"/>
                <w:szCs w:val="20"/>
              </w:rPr>
              <w:t>80%</w:t>
            </w:r>
          </w:p>
        </w:tc>
        <w:tc>
          <w:tcPr>
            <w:tcW w:w="733" w:type="pct"/>
            <w:tcBorders>
              <w:top w:val="single" w:sz="4" w:space="0" w:color="auto"/>
              <w:left w:val="single" w:sz="4" w:space="0" w:color="auto"/>
              <w:bottom w:val="single" w:sz="4" w:space="0" w:color="auto"/>
              <w:right w:val="single" w:sz="4" w:space="0" w:color="auto"/>
            </w:tcBorders>
            <w:vAlign w:val="center"/>
          </w:tcPr>
          <w:p w14:paraId="69290B1D" w14:textId="77777777" w:rsidR="00661A24" w:rsidRDefault="00AD6DC1">
            <w:pPr>
              <w:spacing w:after="0"/>
              <w:jc w:val="center"/>
              <w:rPr>
                <w:rFonts w:ascii="Marianne" w:hAnsi="Marianne"/>
                <w:sz w:val="20"/>
                <w:szCs w:val="20"/>
              </w:rPr>
            </w:pPr>
            <w:r>
              <w:rPr>
                <w:rFonts w:ascii="Marianne" w:hAnsi="Marianne"/>
                <w:sz w:val="20"/>
                <w:szCs w:val="20"/>
              </w:rPr>
              <w:t>70%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669C4D8C" w14:textId="77777777" w:rsidR="00661A24" w:rsidRDefault="00AD6DC1">
            <w:pPr>
              <w:spacing w:after="0"/>
              <w:jc w:val="center"/>
              <w:rPr>
                <w:rFonts w:ascii="Marianne" w:hAnsi="Marianne"/>
                <w:sz w:val="20"/>
                <w:szCs w:val="20"/>
              </w:rPr>
            </w:pPr>
            <w:r>
              <w:rPr>
                <w:rFonts w:ascii="Marianne" w:hAnsi="Marianne"/>
                <w:sz w:val="20"/>
                <w:szCs w:val="20"/>
              </w:rPr>
              <w:t>60%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557D0EC" w14:textId="77777777" w:rsidR="00661A24" w:rsidRDefault="00AD6DC1">
            <w:pPr>
              <w:spacing w:after="0"/>
              <w:jc w:val="center"/>
              <w:rPr>
                <w:rFonts w:ascii="Marianne" w:hAnsi="Marianne"/>
                <w:sz w:val="20"/>
                <w:szCs w:val="20"/>
              </w:rPr>
            </w:pPr>
            <w:r>
              <w:rPr>
                <w:rFonts w:ascii="Marianne" w:hAnsi="Marianne"/>
                <w:sz w:val="20"/>
                <w:szCs w:val="20"/>
              </w:rPr>
              <w:t>45%</w:t>
            </w:r>
          </w:p>
        </w:tc>
        <w:tc>
          <w:tcPr>
            <w:tcW w:w="840" w:type="pct"/>
            <w:tcBorders>
              <w:top w:val="single" w:sz="4" w:space="0" w:color="auto"/>
              <w:bottom w:val="single" w:sz="4" w:space="0" w:color="auto"/>
              <w:right w:val="single" w:sz="4" w:space="0" w:color="auto"/>
            </w:tcBorders>
            <w:vAlign w:val="center"/>
          </w:tcPr>
          <w:p w14:paraId="64F6B823" w14:textId="77777777" w:rsidR="00661A24" w:rsidRDefault="00AD6DC1">
            <w:pPr>
              <w:spacing w:after="0"/>
              <w:jc w:val="center"/>
              <w:rPr>
                <w:rFonts w:ascii="Marianne" w:hAnsi="Marianne"/>
                <w:sz w:val="20"/>
                <w:szCs w:val="20"/>
              </w:rPr>
            </w:pPr>
            <w:r>
              <w:rPr>
                <w:rFonts w:ascii="Marianne" w:hAnsi="Marianne"/>
                <w:sz w:val="20"/>
                <w:szCs w:val="20"/>
              </w:rPr>
              <w:t>60%</w:t>
            </w:r>
          </w:p>
        </w:tc>
      </w:tr>
    </w:tbl>
    <w:p w14:paraId="55F290D0" w14:textId="77777777" w:rsidR="00661A24" w:rsidRDefault="00661A24">
      <w:pPr>
        <w:spacing w:after="120"/>
        <w:rPr>
          <w:rFonts w:ascii="Marianne" w:hAnsi="Marianne"/>
          <w:szCs w:val="18"/>
        </w:rPr>
      </w:pPr>
    </w:p>
    <w:p w14:paraId="55AA6FB3" w14:textId="77777777" w:rsidR="00661A24" w:rsidRDefault="00AD6DC1">
      <w:pPr>
        <w:spacing w:after="120"/>
        <w:rPr>
          <w:rFonts w:ascii="Marianne" w:hAnsi="Marianne"/>
          <w:szCs w:val="18"/>
        </w:rPr>
      </w:pPr>
      <w:r>
        <w:rPr>
          <w:rFonts w:ascii="Marianne" w:hAnsi="Marianne"/>
          <w:szCs w:val="18"/>
        </w:rPr>
        <w:t xml:space="preserve">Légende : </w:t>
      </w:r>
    </w:p>
    <w:p w14:paraId="068C14B3"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 xml:space="preserve">Collaboratif </w:t>
      </w:r>
      <w:r>
        <w:rPr>
          <w:rFonts w:ascii="Marianne" w:hAnsi="Marianne"/>
          <w:szCs w:val="18"/>
          <w:vertAlign w:val="superscript"/>
        </w:rPr>
        <w:footnoteReference w:id="8"/>
      </w:r>
    </w:p>
    <w:p w14:paraId="4702D55E"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AR : Avance Remboursable </w:t>
      </w:r>
    </w:p>
    <w:p w14:paraId="52C055C8"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SUB : Subvention </w:t>
      </w:r>
    </w:p>
    <w:p w14:paraId="37A7C34E"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RI : Recherche Industrielle </w:t>
      </w:r>
    </w:p>
    <w:p w14:paraId="39FC6586"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DE : Développement expérimental</w:t>
      </w:r>
    </w:p>
    <w:p w14:paraId="22CF8585"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Protection Environnement : Protection de l’Environnement, tels que précisés dans le régime d’aides de l’ADEME exempté de notification n° SA.</w:t>
      </w:r>
      <w:r>
        <w:rPr>
          <w:rFonts w:ascii="Marianne" w:hAnsi="Marianne"/>
        </w:rPr>
        <w:t xml:space="preserve"> </w:t>
      </w:r>
      <w:r>
        <w:rPr>
          <w:rFonts w:ascii="Marianne" w:hAnsi="Marianne"/>
          <w:szCs w:val="18"/>
        </w:rPr>
        <w:t>59108.</w:t>
      </w:r>
    </w:p>
    <w:p w14:paraId="0E420FDE" w14:textId="77777777" w:rsidR="00661A24" w:rsidRDefault="00661A24">
      <w:pPr>
        <w:pStyle w:val="Paragraphedeliste"/>
        <w:spacing w:after="120"/>
        <w:rPr>
          <w:rFonts w:ascii="Marianne" w:hAnsi="Marianne"/>
          <w:sz w:val="18"/>
          <w:szCs w:val="18"/>
        </w:rPr>
      </w:pPr>
    </w:p>
    <w:p w14:paraId="1767753E" w14:textId="77777777" w:rsidR="00661A24" w:rsidRDefault="00661A24">
      <w:pPr>
        <w:pStyle w:val="Paragraphedeliste"/>
        <w:spacing w:after="120"/>
        <w:rPr>
          <w:rFonts w:ascii="Marianne" w:hAnsi="Marianne"/>
          <w:sz w:val="18"/>
          <w:szCs w:val="18"/>
        </w:rPr>
      </w:pPr>
    </w:p>
    <w:p w14:paraId="77098AD6" w14:textId="77777777" w:rsidR="00661A24" w:rsidRDefault="00AD6DC1">
      <w:pPr>
        <w:spacing w:after="120"/>
        <w:rPr>
          <w:rFonts w:ascii="Marianne" w:hAnsi="Marianne"/>
          <w:b/>
        </w:rPr>
      </w:pPr>
      <w:r>
        <w:rPr>
          <w:rFonts w:ascii="Marianne" w:hAnsi="Marianne"/>
          <w:b/>
        </w:rPr>
        <w:lastRenderedPageBreak/>
        <w:t>L’aide apportée aux activités économiques sera constituée d’une part de subvention et d’une part remboursable. Dans le cas général, la part de subvention sera de:</w:t>
      </w:r>
    </w:p>
    <w:p w14:paraId="4420203D" w14:textId="77777777" w:rsidR="00661A24" w:rsidRDefault="00AD6DC1">
      <w:pPr>
        <w:pStyle w:val="Paragraphedeliste"/>
        <w:numPr>
          <w:ilvl w:val="0"/>
          <w:numId w:val="9"/>
        </w:numPr>
        <w:spacing w:before="120" w:after="120"/>
        <w:rPr>
          <w:rFonts w:ascii="Marianne" w:hAnsi="Marianne"/>
          <w:b/>
        </w:rPr>
      </w:pPr>
      <w:r>
        <w:rPr>
          <w:rFonts w:ascii="Marianne" w:hAnsi="Marianne"/>
          <w:b/>
        </w:rPr>
        <w:t>75% pour les projets majoritairement « recherche industrielle » ;</w:t>
      </w:r>
    </w:p>
    <w:p w14:paraId="1F819E9A" w14:textId="77777777" w:rsidR="00661A24" w:rsidRDefault="00AD6DC1">
      <w:pPr>
        <w:pStyle w:val="Paragraphedeliste"/>
        <w:spacing w:after="120"/>
        <w:rPr>
          <w:rFonts w:ascii="Marianne" w:hAnsi="Marianne"/>
        </w:rPr>
      </w:pPr>
      <w:r>
        <w:rPr>
          <w:rFonts w:ascii="Marianne" w:hAnsi="Marianne"/>
        </w:rPr>
        <w:t>Les dépenses qualifiées de « recherche industrielle » doivent faire l’objet d’une justification étayée de la part du demandeur</w:t>
      </w:r>
      <w:r>
        <w:rPr>
          <w:rFonts w:ascii="Marianne" w:hAnsi="Marianne"/>
          <w:vertAlign w:val="superscript"/>
        </w:rPr>
        <w:t>10</w:t>
      </w:r>
      <w:r>
        <w:rPr>
          <w:rFonts w:ascii="Marianne" w:hAnsi="Marianne"/>
        </w:rPr>
        <w:t>. A défaut, ces dépenses pourront être requalifiées en « développement expérimental » et soutenues selon les modalités correspondantes.</w:t>
      </w:r>
    </w:p>
    <w:p w14:paraId="4AAE36A3" w14:textId="77777777" w:rsidR="00661A24" w:rsidRDefault="00661A24">
      <w:pPr>
        <w:pStyle w:val="Paragraphedeliste"/>
        <w:spacing w:after="120"/>
        <w:rPr>
          <w:rFonts w:ascii="Marianne" w:hAnsi="Marianne"/>
        </w:rPr>
      </w:pPr>
    </w:p>
    <w:p w14:paraId="1872EA00" w14:textId="77777777" w:rsidR="00661A24" w:rsidRDefault="00AD6DC1">
      <w:pPr>
        <w:pStyle w:val="Paragraphedeliste"/>
        <w:numPr>
          <w:ilvl w:val="0"/>
          <w:numId w:val="9"/>
        </w:numPr>
        <w:spacing w:before="120" w:after="120"/>
        <w:rPr>
          <w:rFonts w:ascii="Marianne" w:hAnsi="Marianne"/>
          <w:b/>
        </w:rPr>
      </w:pPr>
      <w:r>
        <w:rPr>
          <w:rFonts w:ascii="Marianne" w:hAnsi="Marianne"/>
          <w:b/>
        </w:rPr>
        <w:t xml:space="preserve">60% pour les projets majoritairement « développement expérimental ». </w:t>
      </w:r>
    </w:p>
    <w:p w14:paraId="0B87D33A" w14:textId="77777777" w:rsidR="00661A24" w:rsidRDefault="00AD6DC1">
      <w:pPr>
        <w:pStyle w:val="Titre3"/>
        <w:spacing w:before="280" w:after="240"/>
        <w:jc w:val="left"/>
        <w:rPr>
          <w:rFonts w:ascii="Marianne" w:hAnsi="Marianne" w:cs="Arial"/>
          <w:color w:val="auto"/>
          <w:sz w:val="22"/>
        </w:rPr>
      </w:pPr>
      <w:r>
        <w:rPr>
          <w:rFonts w:ascii="Marianne" w:hAnsi="Marianne" w:cs="Arial"/>
          <w:color w:val="auto"/>
          <w:sz w:val="22"/>
        </w:rPr>
        <w:t>Aides proposées pour les activités non économiques</w:t>
      </w:r>
    </w:p>
    <w:p w14:paraId="74BF07A6" w14:textId="77777777" w:rsidR="00661A24" w:rsidRDefault="00AD6DC1">
      <w:pPr>
        <w:spacing w:after="0"/>
        <w:rPr>
          <w:rFonts w:ascii="Marianne" w:eastAsia="Times New Roman" w:hAnsi="Marianne"/>
          <w:sz w:val="24"/>
          <w:szCs w:val="24"/>
        </w:rPr>
      </w:pPr>
      <w:r>
        <w:rPr>
          <w:rFonts w:ascii="Marianne" w:hAnsi="Marianne"/>
        </w:rPr>
        <w:t>Sont considérées comme « non économiques », les activités des entités, généralement des établissements de recherche, qui ne rentrent pas dans la catégorie des activités économiques</w:t>
      </w:r>
      <w:r>
        <w:rPr>
          <w:rFonts w:ascii="Marianne" w:hAnsi="Marianne"/>
          <w:vertAlign w:val="superscript"/>
        </w:rPr>
        <w:footnoteReference w:id="9"/>
      </w:r>
      <w:r>
        <w:rPr>
          <w:rFonts w:ascii="Marianne" w:eastAsia="Times New Roman" w:hAnsi="Marianne"/>
          <w:sz w:val="24"/>
          <w:szCs w:val="24"/>
        </w:rPr>
        <w:t>.</w:t>
      </w:r>
      <w:bookmarkStart w:id="75" w:name="_Toc10712183"/>
    </w:p>
    <w:p w14:paraId="5F955241" w14:textId="77777777" w:rsidR="00661A24" w:rsidRDefault="00AD6DC1">
      <w:pPr>
        <w:pStyle w:val="Titre2"/>
        <w:keepLines/>
        <w:spacing w:before="280" w:line="240" w:lineRule="auto"/>
        <w:jc w:val="left"/>
        <w:rPr>
          <w:rFonts w:ascii="Marianne" w:hAnsi="Marianne"/>
        </w:rPr>
      </w:pPr>
      <w:bookmarkStart w:id="76" w:name="_Toc74823242"/>
      <w:bookmarkStart w:id="77" w:name="_Toc75875338"/>
      <w:bookmarkStart w:id="78" w:name="_Toc140092173"/>
      <w:r>
        <w:rPr>
          <w:rFonts w:ascii="Marianne" w:hAnsi="Marianne"/>
        </w:rPr>
        <w:t>Modalités de remboursement des avances remboursables</w:t>
      </w:r>
      <w:bookmarkEnd w:id="75"/>
      <w:bookmarkEnd w:id="76"/>
      <w:bookmarkEnd w:id="77"/>
      <w:bookmarkEnd w:id="78"/>
      <w:r>
        <w:rPr>
          <w:rFonts w:ascii="Marianne" w:hAnsi="Marianne"/>
        </w:rPr>
        <w:t xml:space="preserve"> </w:t>
      </w:r>
    </w:p>
    <w:p w14:paraId="7E8177A1" w14:textId="77777777" w:rsidR="00661A24" w:rsidRDefault="00AD6DC1">
      <w:pPr>
        <w:rPr>
          <w:rFonts w:ascii="Marianne" w:hAnsi="Marianne"/>
        </w:rPr>
      </w:pPr>
      <w:r>
        <w:rPr>
          <w:rFonts w:ascii="Marianne" w:hAnsi="Marianne"/>
        </w:rPr>
        <w:t xml:space="preserve">Les interventions financières de France 2030 poursuivent un objectif systématique de retours financiers pour l'État. </w:t>
      </w:r>
    </w:p>
    <w:p w14:paraId="47D74A88" w14:textId="77777777" w:rsidR="00661A24" w:rsidRDefault="00AD6DC1">
      <w:pPr>
        <w:rPr>
          <w:rFonts w:ascii="Marianne" w:hAnsi="Marianne"/>
        </w:rPr>
      </w:pPr>
      <w:r>
        <w:rPr>
          <w:rFonts w:ascii="Marianne" w:hAnsi="Marianne"/>
        </w:rPr>
        <w:t xml:space="preserve">Les modalités de remboursement des avances remboursables accordées aux entreprises sont précisées dans les conventions prévues entre l’ADEME et les bénéficiaires des aides. </w:t>
      </w:r>
    </w:p>
    <w:p w14:paraId="295324BD" w14:textId="77777777" w:rsidR="00661A24" w:rsidRDefault="00AD6DC1">
      <w:pPr>
        <w:rPr>
          <w:rFonts w:ascii="Marianne" w:hAnsi="Marianne"/>
        </w:rPr>
      </w:pPr>
      <w:r>
        <w:rPr>
          <w:rFonts w:ascii="Marianne" w:hAnsi="Marianne"/>
        </w:rPr>
        <w:t xml:space="preserve">Le remboursement des avances est déclenché par l’atteinte d’un seuil de succès. Cependant, si le seuil de remboursement n’est pas atteint dans un délai qui sera défini au cours de l’instruction du projet, le bénéficiaire d’une aide sous forme d’avance remboursable sera </w:t>
      </w:r>
      <w:r>
        <w:rPr>
          <w:rFonts w:ascii="Marianne" w:hAnsi="Marianne"/>
          <w:b/>
        </w:rPr>
        <w:t>délié de toute obligation de remboursement du seuil non atteint</w:t>
      </w:r>
      <w:r>
        <w:rPr>
          <w:rFonts w:ascii="Marianne" w:hAnsi="Marianne"/>
        </w:rPr>
        <w:t>.</w:t>
      </w:r>
    </w:p>
    <w:p w14:paraId="75B53E9F" w14:textId="77777777" w:rsidR="00661A24" w:rsidRDefault="00AD6DC1">
      <w:pPr>
        <w:rPr>
          <w:rFonts w:ascii="Marianne" w:hAnsi="Marianne"/>
        </w:rPr>
      </w:pPr>
      <w:r>
        <w:rPr>
          <w:rFonts w:ascii="Marianne" w:hAnsi="Marianne"/>
        </w:rPr>
        <w:t xml:space="preserve">Ce remboursement prend en règle générale la forme d’un échéancier forfaitaire sur plusieurs annuités, tenant compte des prévisions d’activité du bénéficiaire. </w:t>
      </w:r>
    </w:p>
    <w:p w14:paraId="45306368" w14:textId="77777777" w:rsidR="00661A24" w:rsidRDefault="00AD6DC1">
      <w:pPr>
        <w:rPr>
          <w:rFonts w:ascii="Marianne" w:hAnsi="Marianne"/>
        </w:rPr>
      </w:pPr>
      <w:r>
        <w:rPr>
          <w:rFonts w:ascii="Marianne" w:hAnsi="Marianne"/>
        </w:rPr>
        <w:t>Le montant des échéances de remboursements intègre un taux d’actualisation, basé sur le taux de référence et d’actualisation fixé par la Commission européenne à la date de la décision d’octroi des aides, lequel est majoré de 100 points de base. Ce taux peut être ajusté à la hausse en cas d’évolution des modalités de remboursement.</w:t>
      </w:r>
    </w:p>
    <w:p w14:paraId="6C625A2E" w14:textId="77777777" w:rsidR="00661A24" w:rsidRDefault="00AD6DC1">
      <w:pPr>
        <w:rPr>
          <w:rFonts w:ascii="Marianne" w:hAnsi="Marianne"/>
        </w:rPr>
      </w:pPr>
      <w:r>
        <w:rPr>
          <w:rFonts w:ascii="Marianne" w:hAnsi="Marianne"/>
        </w:rPr>
        <w:br w:type="page"/>
      </w:r>
    </w:p>
    <w:p w14:paraId="142A88E8" w14:textId="77777777" w:rsidR="00661A24" w:rsidRDefault="00661A24">
      <w:pPr>
        <w:rPr>
          <w:rFonts w:ascii="Marianne" w:hAnsi="Marianne"/>
        </w:rPr>
      </w:pPr>
    </w:p>
    <w:p w14:paraId="3ED2D8DD" w14:textId="77777777" w:rsidR="00661A24" w:rsidRDefault="00AD6DC1">
      <w:pPr>
        <w:pStyle w:val="Titre1"/>
        <w:numPr>
          <w:ilvl w:val="0"/>
          <w:numId w:val="0"/>
        </w:numPr>
        <w:spacing w:line="240" w:lineRule="auto"/>
        <w:rPr>
          <w:rFonts w:ascii="Marianne" w:hAnsi="Marianne"/>
        </w:rPr>
      </w:pPr>
      <w:bookmarkStart w:id="79" w:name="_Toc140092174"/>
      <w:bookmarkStart w:id="80" w:name="_Toc75934739"/>
      <w:r>
        <w:rPr>
          <w:rFonts w:ascii="Marianne" w:hAnsi="Marianne"/>
        </w:rPr>
        <w:t>Annexe A : Calendrier des relèves</w:t>
      </w:r>
      <w:bookmarkEnd w:id="79"/>
    </w:p>
    <w:p w14:paraId="39D6730C" w14:textId="77777777" w:rsidR="00661A24" w:rsidRDefault="00AD6DC1">
      <w:pPr>
        <w:pStyle w:val="Default"/>
        <w:jc w:val="both"/>
        <w:rPr>
          <w:rFonts w:ascii="Marianne" w:hAnsi="Marianne"/>
          <w:bCs/>
          <w:sz w:val="22"/>
          <w:szCs w:val="22"/>
        </w:rPr>
      </w:pPr>
      <w:r>
        <w:rPr>
          <w:rFonts w:ascii="Marianne" w:hAnsi="Marianne"/>
          <w:bCs/>
          <w:sz w:val="22"/>
          <w:szCs w:val="22"/>
        </w:rPr>
        <w:t>Cet appel à projets fera l’objet de relèves successives et l’heure limite de dépôt pour chaque relève ci-dessous est 15h00 (GMT+1).</w:t>
      </w:r>
    </w:p>
    <w:p w14:paraId="73086840" w14:textId="77777777" w:rsidR="00661A24" w:rsidRDefault="00661A24">
      <w:pPr>
        <w:rPr>
          <w:rFonts w:ascii="Marianne" w:hAnsi="Marianne"/>
        </w:rPr>
      </w:pPr>
    </w:p>
    <w:tbl>
      <w:tblPr>
        <w:tblStyle w:val="Grilledutableau"/>
        <w:tblW w:w="6831" w:type="dxa"/>
        <w:tblLook w:val="04A0" w:firstRow="1" w:lastRow="0" w:firstColumn="1" w:lastColumn="0" w:noHBand="0" w:noVBand="1"/>
      </w:tblPr>
      <w:tblGrid>
        <w:gridCol w:w="2098"/>
        <w:gridCol w:w="2206"/>
        <w:gridCol w:w="2527"/>
      </w:tblGrid>
      <w:tr w:rsidR="00661A24" w14:paraId="408D73FB" w14:textId="77777777">
        <w:trPr>
          <w:trHeight w:val="665"/>
        </w:trPr>
        <w:tc>
          <w:tcPr>
            <w:tcW w:w="2098" w:type="dxa"/>
            <w:shd w:val="clear" w:color="auto" w:fill="auto"/>
            <w:tcMar>
              <w:top w:w="0" w:type="auto"/>
              <w:left w:w="108" w:type="dxa"/>
              <w:bottom w:w="0" w:type="auto"/>
              <w:right w:w="0" w:type="auto"/>
            </w:tcMar>
            <w:vAlign w:val="center"/>
          </w:tcPr>
          <w:p w14:paraId="249457BD" w14:textId="77777777" w:rsidR="00661A24" w:rsidRDefault="00AD6DC1">
            <w:pPr>
              <w:spacing w:after="120" w:line="276" w:lineRule="auto"/>
              <w:jc w:val="center"/>
              <w:rPr>
                <w:rFonts w:ascii="Marianne" w:hAnsi="Marianne" w:cs="Arial"/>
                <w:b/>
                <w:bCs/>
                <w:sz w:val="18"/>
              </w:rPr>
            </w:pPr>
            <w:r>
              <w:rPr>
                <w:rFonts w:ascii="Marianne" w:hAnsi="Marianne"/>
                <w:b/>
                <w:bCs/>
                <w:sz w:val="18"/>
              </w:rPr>
              <w:t>Année</w:t>
            </w:r>
          </w:p>
        </w:tc>
        <w:tc>
          <w:tcPr>
            <w:tcW w:w="2206" w:type="dxa"/>
            <w:shd w:val="clear" w:color="auto" w:fill="auto"/>
            <w:tcMar>
              <w:top w:w="0" w:type="auto"/>
              <w:left w:w="108" w:type="dxa"/>
              <w:bottom w:w="0" w:type="auto"/>
              <w:right w:w="0" w:type="auto"/>
            </w:tcMar>
            <w:vAlign w:val="center"/>
          </w:tcPr>
          <w:p w14:paraId="69F6A421" w14:textId="77777777" w:rsidR="00661A24" w:rsidRDefault="00AD6DC1">
            <w:pPr>
              <w:spacing w:after="120" w:line="276" w:lineRule="auto"/>
              <w:jc w:val="center"/>
              <w:rPr>
                <w:rFonts w:ascii="Marianne" w:hAnsi="Marianne" w:cs="Arial"/>
                <w:b/>
                <w:bCs/>
                <w:sz w:val="18"/>
              </w:rPr>
            </w:pPr>
            <w:r>
              <w:rPr>
                <w:rFonts w:ascii="Marianne" w:hAnsi="Marianne"/>
                <w:b/>
                <w:bCs/>
                <w:sz w:val="18"/>
              </w:rPr>
              <w:t>1</w:t>
            </w:r>
            <w:r>
              <w:rPr>
                <w:rFonts w:ascii="Marianne" w:hAnsi="Marianne"/>
                <w:b/>
                <w:bCs/>
                <w:sz w:val="18"/>
                <w:vertAlign w:val="superscript"/>
              </w:rPr>
              <w:t>ère</w:t>
            </w:r>
            <w:r>
              <w:rPr>
                <w:rFonts w:ascii="Marianne" w:hAnsi="Marianne"/>
                <w:b/>
                <w:bCs/>
                <w:sz w:val="18"/>
              </w:rPr>
              <w:t xml:space="preserve"> clôture</w:t>
            </w:r>
          </w:p>
        </w:tc>
        <w:tc>
          <w:tcPr>
            <w:tcW w:w="2527" w:type="dxa"/>
            <w:shd w:val="clear" w:color="auto" w:fill="auto"/>
            <w:tcMar>
              <w:top w:w="0" w:type="auto"/>
              <w:left w:w="108" w:type="dxa"/>
              <w:bottom w:w="0" w:type="auto"/>
              <w:right w:w="0" w:type="auto"/>
            </w:tcMar>
            <w:vAlign w:val="center"/>
          </w:tcPr>
          <w:p w14:paraId="36038837" w14:textId="77777777" w:rsidR="00661A24" w:rsidRDefault="00AD6DC1">
            <w:pPr>
              <w:spacing w:after="120" w:line="276" w:lineRule="auto"/>
              <w:jc w:val="center"/>
              <w:rPr>
                <w:rFonts w:ascii="Marianne" w:hAnsi="Marianne" w:cs="Arial"/>
                <w:b/>
                <w:bCs/>
                <w:sz w:val="18"/>
              </w:rPr>
            </w:pPr>
            <w:r>
              <w:rPr>
                <w:rFonts w:ascii="Marianne" w:hAnsi="Marianne"/>
                <w:b/>
                <w:bCs/>
                <w:sz w:val="18"/>
              </w:rPr>
              <w:t>2</w:t>
            </w:r>
            <w:r>
              <w:rPr>
                <w:rFonts w:ascii="Marianne" w:hAnsi="Marianne"/>
                <w:b/>
                <w:bCs/>
                <w:sz w:val="18"/>
                <w:vertAlign w:val="superscript"/>
              </w:rPr>
              <w:t>ème</w:t>
            </w:r>
            <w:r>
              <w:rPr>
                <w:rFonts w:ascii="Marianne" w:hAnsi="Marianne"/>
                <w:b/>
                <w:bCs/>
                <w:sz w:val="18"/>
              </w:rPr>
              <w:t xml:space="preserve"> clôture</w:t>
            </w:r>
          </w:p>
        </w:tc>
      </w:tr>
      <w:tr w:rsidR="00661A24" w14:paraId="3E423AD8" w14:textId="77777777">
        <w:trPr>
          <w:trHeight w:val="406"/>
        </w:trPr>
        <w:tc>
          <w:tcPr>
            <w:tcW w:w="2098" w:type="dxa"/>
            <w:shd w:val="clear" w:color="auto" w:fill="auto"/>
            <w:tcMar>
              <w:top w:w="0" w:type="auto"/>
              <w:left w:w="108" w:type="dxa"/>
              <w:bottom w:w="0" w:type="auto"/>
              <w:right w:w="0" w:type="auto"/>
            </w:tcMar>
            <w:vAlign w:val="center"/>
          </w:tcPr>
          <w:p w14:paraId="0DA74166" w14:textId="77777777" w:rsidR="00661A24" w:rsidRDefault="00AD6DC1">
            <w:pPr>
              <w:spacing w:after="120" w:line="276" w:lineRule="auto"/>
              <w:jc w:val="center"/>
              <w:rPr>
                <w:rFonts w:ascii="Marianne" w:hAnsi="Marianne" w:cs="Arial"/>
                <w:b/>
                <w:bCs/>
              </w:rPr>
            </w:pPr>
            <w:r>
              <w:rPr>
                <w:rFonts w:ascii="Marianne" w:hAnsi="Marianne"/>
                <w:b/>
                <w:bCs/>
              </w:rPr>
              <w:t>2023</w:t>
            </w:r>
          </w:p>
        </w:tc>
        <w:tc>
          <w:tcPr>
            <w:tcW w:w="2206" w:type="dxa"/>
            <w:shd w:val="clear" w:color="auto" w:fill="auto"/>
            <w:tcMar>
              <w:top w:w="0" w:type="auto"/>
              <w:left w:w="108" w:type="dxa"/>
              <w:bottom w:w="0" w:type="auto"/>
              <w:right w:w="0" w:type="auto"/>
            </w:tcMar>
            <w:vAlign w:val="center"/>
          </w:tcPr>
          <w:p w14:paraId="64849808" w14:textId="77777777" w:rsidR="00661A24" w:rsidRDefault="00AD6DC1">
            <w:pPr>
              <w:spacing w:after="120" w:line="276" w:lineRule="auto"/>
              <w:jc w:val="center"/>
              <w:rPr>
                <w:rFonts w:ascii="Marianne" w:hAnsi="Marianne" w:cs="Arial"/>
              </w:rPr>
            </w:pPr>
            <w:r>
              <w:rPr>
                <w:rFonts w:ascii="Marianne" w:hAnsi="Marianne"/>
              </w:rPr>
              <w:t>04/12/2023</w:t>
            </w:r>
          </w:p>
        </w:tc>
        <w:tc>
          <w:tcPr>
            <w:tcW w:w="2527" w:type="dxa"/>
            <w:shd w:val="clear" w:color="auto" w:fill="auto"/>
            <w:tcMar>
              <w:top w:w="0" w:type="auto"/>
              <w:left w:w="108" w:type="dxa"/>
              <w:bottom w:w="0" w:type="auto"/>
              <w:right w:w="0" w:type="auto"/>
            </w:tcMar>
            <w:vAlign w:val="center"/>
          </w:tcPr>
          <w:p w14:paraId="4DC94AAA" w14:textId="77777777" w:rsidR="00661A24" w:rsidRDefault="00661A24">
            <w:pPr>
              <w:spacing w:after="120" w:line="276" w:lineRule="auto"/>
              <w:jc w:val="center"/>
              <w:rPr>
                <w:rFonts w:ascii="Marianne" w:hAnsi="Marianne" w:cs="Arial"/>
              </w:rPr>
            </w:pPr>
          </w:p>
        </w:tc>
      </w:tr>
      <w:tr w:rsidR="00661A24" w14:paraId="3F8D8370" w14:textId="77777777">
        <w:trPr>
          <w:trHeight w:val="406"/>
        </w:trPr>
        <w:tc>
          <w:tcPr>
            <w:tcW w:w="2098" w:type="dxa"/>
            <w:shd w:val="clear" w:color="auto" w:fill="auto"/>
            <w:tcMar>
              <w:top w:w="0" w:type="auto"/>
              <w:left w:w="108" w:type="dxa"/>
              <w:bottom w:w="0" w:type="auto"/>
              <w:right w:w="0" w:type="auto"/>
            </w:tcMar>
            <w:vAlign w:val="center"/>
          </w:tcPr>
          <w:p w14:paraId="0DD83734" w14:textId="77777777" w:rsidR="00661A24" w:rsidRDefault="00AD6DC1">
            <w:pPr>
              <w:spacing w:after="120" w:line="276" w:lineRule="auto"/>
              <w:jc w:val="center"/>
              <w:rPr>
                <w:rFonts w:ascii="Marianne" w:hAnsi="Marianne"/>
                <w:b/>
                <w:bCs/>
              </w:rPr>
            </w:pPr>
            <w:r>
              <w:rPr>
                <w:rFonts w:ascii="Marianne" w:hAnsi="Marianne"/>
                <w:b/>
                <w:bCs/>
              </w:rPr>
              <w:t>2024</w:t>
            </w:r>
          </w:p>
        </w:tc>
        <w:tc>
          <w:tcPr>
            <w:tcW w:w="2206" w:type="dxa"/>
            <w:shd w:val="clear" w:color="auto" w:fill="auto"/>
            <w:tcMar>
              <w:top w:w="0" w:type="auto"/>
              <w:left w:w="108" w:type="dxa"/>
              <w:bottom w:w="0" w:type="auto"/>
              <w:right w:w="0" w:type="auto"/>
            </w:tcMar>
            <w:vAlign w:val="center"/>
          </w:tcPr>
          <w:p w14:paraId="3ACA8B5A" w14:textId="77777777" w:rsidR="00661A24" w:rsidRDefault="00AD6DC1">
            <w:pPr>
              <w:spacing w:after="120" w:line="276" w:lineRule="auto"/>
              <w:jc w:val="center"/>
              <w:rPr>
                <w:rFonts w:ascii="Marianne" w:hAnsi="Marianne"/>
              </w:rPr>
            </w:pPr>
            <w:r>
              <w:rPr>
                <w:rFonts w:ascii="Marianne" w:hAnsi="Marianne"/>
              </w:rPr>
              <w:t>08/04/2024</w:t>
            </w:r>
          </w:p>
        </w:tc>
        <w:tc>
          <w:tcPr>
            <w:tcW w:w="2527" w:type="dxa"/>
            <w:shd w:val="clear" w:color="auto" w:fill="auto"/>
            <w:tcMar>
              <w:top w:w="0" w:type="auto"/>
              <w:left w:w="108" w:type="dxa"/>
              <w:bottom w:w="0" w:type="auto"/>
              <w:right w:w="0" w:type="auto"/>
            </w:tcMar>
            <w:vAlign w:val="center"/>
          </w:tcPr>
          <w:p w14:paraId="0750BDC9" w14:textId="77777777" w:rsidR="00661A24" w:rsidRDefault="00AD6DC1">
            <w:pPr>
              <w:spacing w:after="120" w:line="276" w:lineRule="auto"/>
              <w:jc w:val="center"/>
              <w:rPr>
                <w:rFonts w:ascii="Marianne" w:hAnsi="Marianne"/>
              </w:rPr>
            </w:pPr>
            <w:r>
              <w:rPr>
                <w:rFonts w:ascii="Marianne" w:hAnsi="Marianne"/>
              </w:rPr>
              <w:t>11/09/2024</w:t>
            </w:r>
          </w:p>
        </w:tc>
      </w:tr>
      <w:tr w:rsidR="00661A24" w14:paraId="457F67A5" w14:textId="77777777">
        <w:trPr>
          <w:trHeight w:val="406"/>
        </w:trPr>
        <w:tc>
          <w:tcPr>
            <w:tcW w:w="2098" w:type="dxa"/>
            <w:shd w:val="clear" w:color="auto" w:fill="auto"/>
            <w:tcMar>
              <w:top w:w="0" w:type="auto"/>
              <w:left w:w="108" w:type="dxa"/>
              <w:bottom w:w="0" w:type="auto"/>
              <w:right w:w="0" w:type="auto"/>
            </w:tcMar>
            <w:vAlign w:val="center"/>
          </w:tcPr>
          <w:p w14:paraId="32F83B1A" w14:textId="77777777" w:rsidR="00661A24" w:rsidRDefault="00AD6DC1">
            <w:pPr>
              <w:spacing w:after="120" w:line="276" w:lineRule="auto"/>
              <w:jc w:val="center"/>
              <w:rPr>
                <w:rFonts w:ascii="Marianne" w:hAnsi="Marianne"/>
                <w:b/>
                <w:bCs/>
              </w:rPr>
            </w:pPr>
            <w:r>
              <w:rPr>
                <w:rFonts w:ascii="Marianne" w:hAnsi="Marianne"/>
                <w:b/>
                <w:bCs/>
              </w:rPr>
              <w:t>2025</w:t>
            </w:r>
          </w:p>
        </w:tc>
        <w:tc>
          <w:tcPr>
            <w:tcW w:w="2206" w:type="dxa"/>
            <w:shd w:val="clear" w:color="auto" w:fill="auto"/>
            <w:tcMar>
              <w:top w:w="0" w:type="auto"/>
              <w:left w:w="108" w:type="dxa"/>
              <w:bottom w:w="0" w:type="auto"/>
              <w:right w:w="0" w:type="auto"/>
            </w:tcMar>
            <w:vAlign w:val="center"/>
          </w:tcPr>
          <w:p w14:paraId="78001EFF" w14:textId="77777777" w:rsidR="00661A24" w:rsidRDefault="00AD6DC1">
            <w:pPr>
              <w:spacing w:after="120" w:line="276" w:lineRule="auto"/>
              <w:jc w:val="center"/>
              <w:rPr>
                <w:rFonts w:ascii="Marianne" w:hAnsi="Marianne"/>
              </w:rPr>
            </w:pPr>
            <w:r>
              <w:rPr>
                <w:rFonts w:ascii="Marianne" w:hAnsi="Marianne"/>
              </w:rPr>
              <w:t>13/01/2025</w:t>
            </w:r>
          </w:p>
        </w:tc>
        <w:tc>
          <w:tcPr>
            <w:tcW w:w="2527" w:type="dxa"/>
            <w:shd w:val="clear" w:color="auto" w:fill="auto"/>
            <w:tcMar>
              <w:top w:w="0" w:type="auto"/>
              <w:left w:w="108" w:type="dxa"/>
              <w:bottom w:w="0" w:type="auto"/>
              <w:right w:w="0" w:type="auto"/>
            </w:tcMar>
            <w:vAlign w:val="center"/>
          </w:tcPr>
          <w:p w14:paraId="37B21293" w14:textId="77777777" w:rsidR="00661A24" w:rsidRDefault="00661A24">
            <w:pPr>
              <w:spacing w:after="120" w:line="276" w:lineRule="auto"/>
              <w:jc w:val="center"/>
              <w:rPr>
                <w:rFonts w:ascii="Marianne" w:hAnsi="Marianne"/>
              </w:rPr>
            </w:pPr>
          </w:p>
        </w:tc>
      </w:tr>
    </w:tbl>
    <w:p w14:paraId="43B80167" w14:textId="77777777" w:rsidR="00661A24" w:rsidRDefault="00AD6DC1">
      <w:pPr>
        <w:rPr>
          <w:rFonts w:ascii="Marianne" w:hAnsi="Marianne"/>
        </w:rPr>
      </w:pPr>
      <w:r>
        <w:rPr>
          <w:rFonts w:ascii="Marianne" w:hAnsi="Marianne"/>
        </w:rPr>
        <w:br w:type="page"/>
      </w:r>
    </w:p>
    <w:p w14:paraId="051AABCE" w14:textId="77777777" w:rsidR="00661A24" w:rsidRDefault="00AD6DC1">
      <w:pPr>
        <w:pStyle w:val="Titre1"/>
        <w:numPr>
          <w:ilvl w:val="0"/>
          <w:numId w:val="0"/>
        </w:numPr>
        <w:spacing w:line="240" w:lineRule="auto"/>
        <w:rPr>
          <w:rFonts w:ascii="Marianne" w:hAnsi="Marianne"/>
        </w:rPr>
      </w:pPr>
      <w:bookmarkStart w:id="81" w:name="_Toc140092175"/>
      <w:r>
        <w:rPr>
          <w:rFonts w:ascii="Marianne" w:hAnsi="Marianne"/>
        </w:rPr>
        <w:lastRenderedPageBreak/>
        <w:t>Annexe B : Critères de performance environnementale</w:t>
      </w:r>
      <w:bookmarkEnd w:id="80"/>
      <w:bookmarkEnd w:id="81"/>
    </w:p>
    <w:p w14:paraId="6B3DBA13" w14:textId="77777777" w:rsidR="00661A24" w:rsidRDefault="00661A24"/>
    <w:p w14:paraId="3A186C9B" w14:textId="77777777" w:rsidR="00661A24" w:rsidRDefault="00AD6DC1">
      <w:pPr>
        <w:rPr>
          <w:rFonts w:ascii="Marianne" w:hAnsi="Marianne"/>
        </w:rPr>
      </w:pPr>
      <w:r>
        <w:rPr>
          <w:rFonts w:ascii="Marianne" w:hAnsi="Marianne"/>
        </w:rPr>
        <w:t xml:space="preserve">Les projets causant un préjudice important du point de vue de l’environnement seront exclus (application du principe DNSH – </w:t>
      </w:r>
      <w:r>
        <w:rPr>
          <w:rFonts w:ascii="Marianne" w:hAnsi="Marianne"/>
          <w:i/>
          <w:iCs/>
        </w:rPr>
        <w:t xml:space="preserve">Do No </w:t>
      </w:r>
      <w:proofErr w:type="spellStart"/>
      <w:r>
        <w:rPr>
          <w:rFonts w:ascii="Marianne" w:hAnsi="Marianne"/>
          <w:i/>
          <w:iCs/>
        </w:rPr>
        <w:t>Significant</w:t>
      </w:r>
      <w:proofErr w:type="spellEnd"/>
      <w:r>
        <w:rPr>
          <w:rFonts w:ascii="Marianne" w:hAnsi="Marianne"/>
          <w:i/>
          <w:iCs/>
        </w:rPr>
        <w:t xml:space="preserve"> </w:t>
      </w:r>
      <w:proofErr w:type="spellStart"/>
      <w:r>
        <w:rPr>
          <w:rFonts w:ascii="Marianne" w:hAnsi="Marianne"/>
          <w:i/>
          <w:iCs/>
        </w:rPr>
        <w:t>Harm</w:t>
      </w:r>
      <w:proofErr w:type="spellEnd"/>
      <w:r>
        <w:rPr>
          <w:rFonts w:ascii="Marianne" w:hAnsi="Marianne"/>
        </w:rPr>
        <w:t xml:space="preserve"> ou « absence de préjudice important ») au sens de l’article 17 du règlement européen sur la taxonomie</w:t>
      </w:r>
      <w:r>
        <w:rPr>
          <w:rStyle w:val="Appelnotedebasdep"/>
          <w:rFonts w:ascii="Marianne" w:hAnsi="Marianne"/>
        </w:rPr>
        <w:footnoteReference w:id="10"/>
      </w:r>
      <w:r>
        <w:rPr>
          <w:rFonts w:ascii="Marianne" w:hAnsi="Marianne"/>
        </w:rPr>
        <w:t xml:space="preserve">. 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w:t>
      </w:r>
    </w:p>
    <w:p w14:paraId="560B39F8" w14:textId="77777777" w:rsidR="00661A24" w:rsidRDefault="00AD6DC1">
      <w:pPr>
        <w:rPr>
          <w:rFonts w:ascii="Marianne" w:hAnsi="Marianne"/>
        </w:rPr>
      </w:pPr>
      <w:r>
        <w:rPr>
          <w:rFonts w:ascii="Marianne" w:hAnsi="Marianne"/>
        </w:rPr>
        <w:t>Ainsi, la taxonomie définit la durabilité au regard des six objectifs environnementaux suivants:</w:t>
      </w:r>
    </w:p>
    <w:p w14:paraId="07BBB9C3"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l’atténuation</w:t>
      </w:r>
      <w:proofErr w:type="gramEnd"/>
      <w:r>
        <w:rPr>
          <w:rFonts w:ascii="Marianne" w:hAnsi="Marianne"/>
        </w:rPr>
        <w:t xml:space="preserve"> du changement climatique ;</w:t>
      </w:r>
    </w:p>
    <w:p w14:paraId="47D21913"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l’adaptation</w:t>
      </w:r>
      <w:proofErr w:type="gramEnd"/>
      <w:r>
        <w:rPr>
          <w:rFonts w:ascii="Marianne" w:hAnsi="Marianne"/>
        </w:rPr>
        <w:t xml:space="preserve"> au changement climatique ;</w:t>
      </w:r>
    </w:p>
    <w:p w14:paraId="6218C052"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l’utilisation</w:t>
      </w:r>
      <w:proofErr w:type="gramEnd"/>
      <w:r>
        <w:rPr>
          <w:rFonts w:ascii="Marianne" w:hAnsi="Marianne"/>
        </w:rPr>
        <w:t xml:space="preserve"> durable et la protection des ressources aquatiques et marines ;</w:t>
      </w:r>
    </w:p>
    <w:p w14:paraId="6A97027F"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w:t>
      </w:r>
      <w:proofErr w:type="gramEnd"/>
      <w:r>
        <w:rPr>
          <w:rFonts w:ascii="Marianne" w:hAnsi="Marianne"/>
        </w:rPr>
        <w:t xml:space="preserve"> transition vers une économie circulaire ; </w:t>
      </w:r>
    </w:p>
    <w:p w14:paraId="3E47B3E1"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w:t>
      </w:r>
      <w:proofErr w:type="gramEnd"/>
      <w:r>
        <w:rPr>
          <w:rFonts w:ascii="Marianne" w:hAnsi="Marianne"/>
        </w:rPr>
        <w:t xml:space="preserve"> prévention et la réduction de la pollution ; </w:t>
      </w:r>
    </w:p>
    <w:p w14:paraId="5FCC8E3C"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w:t>
      </w:r>
      <w:proofErr w:type="gramEnd"/>
      <w:r>
        <w:rPr>
          <w:rFonts w:ascii="Marianne" w:hAnsi="Marianne"/>
        </w:rPr>
        <w:t xml:space="preserve"> protection et la restauration de la biodiversité et des écosystèmes.</w:t>
      </w:r>
    </w:p>
    <w:p w14:paraId="45798949" w14:textId="2C0FF314" w:rsidR="00661A24" w:rsidRDefault="00AD6DC1">
      <w:pPr>
        <w:rPr>
          <w:rFonts w:ascii="Marianne" w:hAnsi="Marianne"/>
        </w:rPr>
      </w:pPr>
      <w:r>
        <w:rPr>
          <w:rFonts w:ascii="Marianne" w:hAnsi="Marianne"/>
        </w:rPr>
        <w:t>Pour l’évaluation technique de l’impact du projet vis-à-vis de chaque objectif environnemental, le déposant doit renseigner le document dédié disponible sur le site de l’appel à projets (Annexe 5 « Grille d’impacts ») et le joindre au dossier de candidature. Il s’agira d’autoévaluer les impacts prévisibles de la solution proposée (faisant l’objet de l’aide au titre de France 2030) par rapport à une solution de référence</w:t>
      </w:r>
      <w:r w:rsidR="003166B1">
        <w:rPr>
          <w:rFonts w:ascii="Marianne" w:hAnsi="Marianne"/>
        </w:rPr>
        <w:t xml:space="preserve"> explicite, pertinente et argumentée</w:t>
      </w:r>
      <w:r>
        <w:rPr>
          <w:rFonts w:ascii="Marianne" w:hAnsi="Marianne"/>
        </w:rPr>
        <w:t>. Cette analyse tient compte du cycle de vie des process et du ou des produits ou livrables du projet, suivant les usages qui en sont faits. En tant que de besoin, ces estimations pourront être étayées par des analyses en cycle de vie plus complètes.</w:t>
      </w:r>
      <w:bookmarkStart w:id="82" w:name="_1ksv4uv" w:colFirst="0" w:colLast="0"/>
      <w:bookmarkEnd w:id="36"/>
      <w:bookmarkEnd w:id="37"/>
      <w:bookmarkEnd w:id="82"/>
    </w:p>
    <w:p w14:paraId="6294882A" w14:textId="77777777" w:rsidR="00661A24" w:rsidRDefault="00AD6DC1">
      <w:pPr>
        <w:rPr>
          <w:rFonts w:ascii="Marianne" w:hAnsi="Marianne"/>
        </w:rPr>
      </w:pPr>
      <w:r>
        <w:rPr>
          <w:rFonts w:ascii="Marianne" w:hAnsi="Marianne"/>
        </w:rPr>
        <w:br w:type="page"/>
      </w:r>
    </w:p>
    <w:p w14:paraId="77389A82" w14:textId="77777777" w:rsidR="00661A24" w:rsidRDefault="00AD6DC1">
      <w:pPr>
        <w:pStyle w:val="Titre1"/>
        <w:numPr>
          <w:ilvl w:val="0"/>
          <w:numId w:val="0"/>
        </w:numPr>
        <w:spacing w:line="240" w:lineRule="auto"/>
        <w:rPr>
          <w:rFonts w:ascii="Marianne" w:hAnsi="Marianne"/>
        </w:rPr>
      </w:pPr>
      <w:bookmarkStart w:id="83" w:name="_Toc140092176"/>
      <w:r>
        <w:rPr>
          <w:rFonts w:ascii="Marianne" w:hAnsi="Marianne"/>
        </w:rPr>
        <w:lastRenderedPageBreak/>
        <w:t>Annexe C</w:t>
      </w:r>
      <w:r>
        <w:rPr>
          <w:rFonts w:ascii="Calibri" w:hAnsi="Calibri" w:cs="Calibri"/>
        </w:rPr>
        <w:t> </w:t>
      </w:r>
      <w:r>
        <w:rPr>
          <w:rFonts w:ascii="Marianne" w:hAnsi="Marianne"/>
        </w:rPr>
        <w:t>: Contributions attendues au bien commun</w:t>
      </w:r>
      <w:bookmarkEnd w:id="83"/>
    </w:p>
    <w:p w14:paraId="0F49D502" w14:textId="77777777" w:rsidR="00661A24" w:rsidRDefault="00AD6DC1">
      <w:pPr>
        <w:spacing w:before="100" w:beforeAutospacing="1" w:after="100" w:afterAutospacing="1"/>
        <w:jc w:val="left"/>
        <w:rPr>
          <w:rFonts w:ascii="Marianne" w:eastAsia="Times New Roman" w:hAnsi="Marianne" w:cs="Times New Roman"/>
          <w:i/>
          <w:iCs/>
          <w:color w:val="000000"/>
        </w:rPr>
      </w:pPr>
      <w:r>
        <w:rPr>
          <w:rFonts w:ascii="Marianne" w:eastAsia="Times New Roman" w:hAnsi="Marianne" w:cs="Times New Roman"/>
          <w:i/>
          <w:iCs/>
          <w:color w:val="000000"/>
        </w:rPr>
        <w:t>Cette annexe doit présenter les contributions que les porteurs de projet envisagent d’apporter au bien commun sur la thématique de l’appel à projets.</w:t>
      </w:r>
    </w:p>
    <w:p w14:paraId="1E7D7942" w14:textId="77777777" w:rsidR="00661A24" w:rsidRDefault="00AD6DC1">
      <w:pPr>
        <w:spacing w:before="100" w:beforeAutospacing="1" w:after="100" w:afterAutospacing="1"/>
        <w:rPr>
          <w:rFonts w:ascii="Marianne" w:eastAsia="Times New Roman" w:hAnsi="Marianne" w:cs="Times New Roman"/>
          <w:color w:val="000000"/>
        </w:rPr>
      </w:pPr>
      <w:r>
        <w:rPr>
          <w:rFonts w:ascii="Marianne" w:eastAsia="Times New Roman" w:hAnsi="Marianne" w:cs="Times New Roman"/>
          <w:color w:val="000000"/>
        </w:rPr>
        <w:t xml:space="preserve">Un certain nombre de sujets, s’inscrivant dans un principe de participation des projets sélectionnés à la </w:t>
      </w:r>
      <w:r>
        <w:rPr>
          <w:rFonts w:ascii="Marianne" w:eastAsia="Times New Roman" w:hAnsi="Marianne" w:cs="Times New Roman"/>
          <w:b/>
          <w:bCs/>
          <w:color w:val="000000"/>
        </w:rPr>
        <w:t>constitution de « biens communs »,</w:t>
      </w:r>
      <w:r>
        <w:rPr>
          <w:rFonts w:ascii="Marianne" w:eastAsia="Times New Roman" w:hAnsi="Marianne" w:cs="Times New Roman"/>
          <w:color w:val="000000"/>
        </w:rPr>
        <w:t xml:space="preserve"> feront l’objet d’une attention particulière en phase d’instruction détaillée des projets, puis dans leur suivi. La participation effective proposée des projets à la constitution de biens communs sera prise en compte dans l’évaluation.</w:t>
      </w:r>
    </w:p>
    <w:p w14:paraId="4EA1900C" w14:textId="77777777" w:rsidR="00661A24" w:rsidRDefault="00AD6DC1">
      <w:pPr>
        <w:spacing w:before="100" w:beforeAutospacing="1" w:after="100" w:afterAutospacing="1"/>
        <w:rPr>
          <w:rFonts w:ascii="Marianne" w:eastAsia="Times New Roman" w:hAnsi="Marianne" w:cs="Times New Roman"/>
          <w:color w:val="000000"/>
        </w:rPr>
      </w:pPr>
      <w:r>
        <w:rPr>
          <w:rFonts w:ascii="Marianne" w:eastAsia="Times New Roman" w:hAnsi="Marianne" w:cs="Times New Roman"/>
          <w:color w:val="000000"/>
        </w:rPr>
        <w:t>Les sujets principaux dans lesquels les porteurs de projets seront invités à partager les connaissances sont listés ci-après. Il n’est pas nécessairement attendu des porteurs de projets que leur réponse couvre l’intégralité des sujets énumérés au sein de ce document, qui constitue davantage un guide de réponse et d’évaluation à adapter à la nature et à la typologie du projet. Certaines réponses sont toutefois obligatoires. L’ajout d’autres types de bien communs non décrits ci-après est possible et encouragée.</w:t>
      </w:r>
    </w:p>
    <w:p w14:paraId="2720099B" w14:textId="77777777" w:rsidR="00661A24" w:rsidRDefault="00AD6DC1">
      <w:pPr>
        <w:spacing w:before="100" w:beforeAutospacing="1" w:after="100" w:afterAutospacing="1"/>
        <w:jc w:val="left"/>
        <w:rPr>
          <w:rFonts w:ascii="Marianne" w:eastAsia="Times New Roman" w:hAnsi="Marianne" w:cs="Times New Roman"/>
          <w:b/>
          <w:bCs/>
          <w:color w:val="000000"/>
          <w:u w:val="single"/>
        </w:rPr>
      </w:pPr>
      <w:r>
        <w:rPr>
          <w:rFonts w:ascii="Marianne" w:eastAsia="Times New Roman" w:hAnsi="Marianne" w:cs="Times New Roman"/>
          <w:b/>
          <w:bCs/>
          <w:color w:val="000000"/>
          <w:u w:val="single"/>
        </w:rPr>
        <w:t>Dissémination des résultats du projet (obligatoire)</w:t>
      </w:r>
    </w:p>
    <w:p w14:paraId="131D52B5" w14:textId="77777777" w:rsidR="00661A24" w:rsidRDefault="00AD6DC1">
      <w:pPr>
        <w:spacing w:before="100" w:beforeAutospacing="1" w:after="100" w:afterAutospacing="1"/>
        <w:rPr>
          <w:rFonts w:ascii="Marianne" w:eastAsia="Times New Roman" w:hAnsi="Marianne" w:cs="Times New Roman"/>
          <w:color w:val="000000"/>
        </w:rPr>
      </w:pPr>
      <w:r>
        <w:rPr>
          <w:rFonts w:ascii="Marianne" w:eastAsia="Times New Roman" w:hAnsi="Marianne" w:cs="Times New Roman"/>
          <w:color w:val="000000"/>
        </w:rPr>
        <w:t>Le porteur précisera son plan de dissémination, de publication, de partage de connaissance et de communication.</w:t>
      </w:r>
    </w:p>
    <w:p w14:paraId="66FAA399" w14:textId="77777777" w:rsidR="00661A24" w:rsidRDefault="00AD6DC1">
      <w:pPr>
        <w:spacing w:before="100" w:beforeAutospacing="1" w:after="100" w:afterAutospacing="1"/>
        <w:jc w:val="left"/>
        <w:rPr>
          <w:rFonts w:ascii="Marianne" w:eastAsia="Times New Roman" w:hAnsi="Marianne" w:cs="Times New Roman"/>
          <w:i/>
          <w:iCs/>
          <w:color w:val="000000"/>
        </w:rPr>
      </w:pPr>
      <w:r>
        <w:rPr>
          <w:rFonts w:ascii="Marianne" w:eastAsia="Times New Roman" w:hAnsi="Marianne" w:cs="Times New Roman"/>
          <w:i/>
          <w:iCs/>
          <w:color w:val="000000"/>
        </w:rPr>
        <w:t>Ex : Site web, Vidéo, Brochures, Participation à des conférences, communiqués, Publication dans des revues spécialisées</w:t>
      </w:r>
    </w:p>
    <w:p w14:paraId="3863071D" w14:textId="77777777" w:rsidR="00661A24" w:rsidRDefault="00AD6DC1">
      <w:pPr>
        <w:spacing w:before="100" w:beforeAutospacing="1" w:after="100" w:afterAutospacing="1"/>
        <w:jc w:val="left"/>
        <w:rPr>
          <w:rFonts w:ascii="Marianne" w:eastAsia="Times New Roman" w:hAnsi="Marianne" w:cs="Times New Roman"/>
          <w:b/>
          <w:bCs/>
          <w:color w:val="000000"/>
        </w:rPr>
      </w:pPr>
      <w:r>
        <w:rPr>
          <w:rFonts w:ascii="Marianne" w:eastAsia="Times New Roman" w:hAnsi="Marianne" w:cs="Times New Roman"/>
          <w:b/>
          <w:bCs/>
          <w:color w:val="000000"/>
        </w:rPr>
        <w:t>Données de caractérisations</w:t>
      </w:r>
      <w:r>
        <w:rPr>
          <w:rFonts w:ascii="Calibri" w:eastAsia="Times New Roman" w:hAnsi="Calibri" w:cs="Calibri"/>
          <w:b/>
          <w:bCs/>
          <w:color w:val="000000"/>
        </w:rPr>
        <w:t> </w:t>
      </w:r>
      <w:r>
        <w:rPr>
          <w:rFonts w:ascii="Marianne" w:eastAsia="Times New Roman" w:hAnsi="Marianne" w:cs="Times New Roman"/>
          <w:b/>
          <w:bCs/>
          <w:color w:val="000000"/>
        </w:rPr>
        <w:t>:</w:t>
      </w:r>
    </w:p>
    <w:p w14:paraId="4A14B7E7"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Description des essais, tests ou autres analyses menés</w:t>
      </w:r>
    </w:p>
    <w:p w14:paraId="17E006FE"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Méthodes et outils utilisés pour les essais, tests et analyses menés</w:t>
      </w:r>
    </w:p>
    <w:p w14:paraId="0878EB3C"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Résultats des essais, tests et analyses</w:t>
      </w:r>
    </w:p>
    <w:p w14:paraId="21E50FAD"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Données de caractérisation</w:t>
      </w:r>
    </w:p>
    <w:p w14:paraId="6B972022"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Modalité d’accès aux données et de leurs réutilisations pour des tiers, dans les conditions du marché, de manière loyale et non faussée (obligatoire)</w:t>
      </w:r>
    </w:p>
    <w:p w14:paraId="1FB8B2B6"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Modalité d’accès aux données et de leurs réutilisations pour les organismes de recherche (obligatoire)</w:t>
      </w:r>
    </w:p>
    <w:p w14:paraId="0BACBB6C"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Evolutions règlementaires sous-jacentes ou de standard qui seraient nécessaires pour la mise en exploitation des systèmes et analyse des écarts par rapport à la règlementation ou de standard existant applicable</w:t>
      </w:r>
    </w:p>
    <w:p w14:paraId="7C9EE6C3" w14:textId="77777777" w:rsidR="00661A24" w:rsidRDefault="00661A24">
      <w:pPr>
        <w:spacing w:after="0"/>
        <w:jc w:val="left"/>
        <w:rPr>
          <w:rFonts w:ascii="Marianne" w:eastAsia="Times New Roman" w:hAnsi="Marianne" w:cs="Times New Roman"/>
          <w:color w:val="000000"/>
        </w:rPr>
      </w:pPr>
    </w:p>
    <w:p w14:paraId="7707C072" w14:textId="77777777" w:rsidR="00661A24" w:rsidRDefault="00AD6DC1">
      <w:pPr>
        <w:spacing w:before="100" w:beforeAutospacing="1" w:after="100" w:afterAutospacing="1"/>
        <w:jc w:val="left"/>
        <w:rPr>
          <w:rFonts w:ascii="Marianne" w:eastAsia="Times New Roman" w:hAnsi="Marianne" w:cs="Times New Roman"/>
          <w:color w:val="000000"/>
        </w:rPr>
      </w:pPr>
      <w:r>
        <w:rPr>
          <w:rFonts w:ascii="Marianne" w:eastAsia="Times New Roman" w:hAnsi="Marianne" w:cs="Times New Roman"/>
          <w:color w:val="000000"/>
        </w:rPr>
        <w:t>Les porteurs pourront distinguer leurs contributions entre le bien commun à l’échelle des filières entre acteurs économiques et le partage avec l’Etat et ses établissements ou services.</w:t>
      </w:r>
    </w:p>
    <w:p w14:paraId="7F6ECE1F" w14:textId="77777777" w:rsidR="00661A24" w:rsidRDefault="00661A24">
      <w:pPr>
        <w:rPr>
          <w:rFonts w:ascii="Marianne" w:hAnsi="Marianne"/>
        </w:rPr>
      </w:pPr>
    </w:p>
    <w:sectPr w:rsidR="00661A24">
      <w:headerReference w:type="even" r:id="rId23"/>
      <w:headerReference w:type="default" r:id="rId24"/>
      <w:footerReference w:type="default" r:id="rId25"/>
      <w:headerReference w:type="first" r:id="rId26"/>
      <w:footerReference w:type="first" r:id="rId27"/>
      <w:pgSz w:w="11906" w:h="16838"/>
      <w:pgMar w:top="1134" w:right="1418" w:bottom="1134" w:left="1418" w:header="567" w:footer="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2C88" w14:textId="77777777" w:rsidR="005537D1" w:rsidRDefault="005537D1">
      <w:pPr>
        <w:spacing w:after="0"/>
      </w:pPr>
      <w:r>
        <w:separator/>
      </w:r>
    </w:p>
  </w:endnote>
  <w:endnote w:type="continuationSeparator" w:id="0">
    <w:p w14:paraId="67C6748F" w14:textId="77777777" w:rsidR="005537D1" w:rsidRDefault="00553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8" w:space="0" w:color="00B0F0"/>
      </w:tblBorders>
      <w:tblLayout w:type="fixed"/>
      <w:tblLook w:val="0400" w:firstRow="0" w:lastRow="0" w:firstColumn="0" w:lastColumn="0" w:noHBand="0" w:noVBand="1"/>
    </w:tblPr>
    <w:tblGrid>
      <w:gridCol w:w="8647"/>
      <w:gridCol w:w="425"/>
    </w:tblGrid>
    <w:tr w:rsidR="005537D1" w14:paraId="671832EE" w14:textId="77777777">
      <w:trPr>
        <w:trHeight w:val="456"/>
      </w:trPr>
      <w:tc>
        <w:tcPr>
          <w:tcW w:w="8647" w:type="dxa"/>
          <w:tcBorders>
            <w:top w:val="single" w:sz="8" w:space="0" w:color="00B0F0"/>
          </w:tcBorders>
          <w:shd w:val="clear" w:color="auto" w:fill="auto"/>
        </w:tcPr>
        <w:p w14:paraId="2C5BF0D6"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425" w:type="dxa"/>
          <w:tcBorders>
            <w:top w:val="single" w:sz="8" w:space="0" w:color="00B0F0"/>
          </w:tcBorders>
          <w:shd w:val="clear" w:color="auto" w:fill="auto"/>
        </w:tcPr>
        <w:p w14:paraId="5E330A1F" w14:textId="6847CB38"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ascii="Marianne" w:eastAsia="Times New Roman" w:hAnsi="Marianne"/>
              <w:color w:val="000000"/>
              <w:sz w:val="18"/>
              <w:szCs w:val="18"/>
            </w:rPr>
          </w:pPr>
          <w:r>
            <w:rPr>
              <w:rFonts w:ascii="Marianne" w:eastAsia="Times New Roman" w:hAnsi="Marianne"/>
              <w:color w:val="000000"/>
              <w:sz w:val="18"/>
              <w:szCs w:val="18"/>
            </w:rPr>
            <w:fldChar w:fldCharType="begin"/>
          </w:r>
          <w:r>
            <w:rPr>
              <w:rFonts w:ascii="Marianne" w:eastAsia="Times New Roman" w:hAnsi="Marianne"/>
              <w:color w:val="000000"/>
              <w:sz w:val="18"/>
              <w:szCs w:val="18"/>
            </w:rPr>
            <w:instrText>PAGE</w:instrText>
          </w:r>
          <w:r>
            <w:rPr>
              <w:rFonts w:ascii="Marianne" w:eastAsia="Times New Roman" w:hAnsi="Marianne"/>
              <w:color w:val="000000"/>
              <w:sz w:val="18"/>
              <w:szCs w:val="18"/>
            </w:rPr>
            <w:fldChar w:fldCharType="separate"/>
          </w:r>
          <w:r w:rsidR="00DD6F0C">
            <w:rPr>
              <w:rFonts w:ascii="Marianne" w:eastAsia="Times New Roman" w:hAnsi="Marianne"/>
              <w:noProof/>
              <w:color w:val="000000"/>
              <w:sz w:val="18"/>
              <w:szCs w:val="18"/>
            </w:rPr>
            <w:t>4</w:t>
          </w:r>
          <w:r>
            <w:rPr>
              <w:rFonts w:ascii="Marianne" w:eastAsia="Times New Roman" w:hAnsi="Marianne"/>
              <w:color w:val="000000"/>
              <w:sz w:val="18"/>
              <w:szCs w:val="18"/>
            </w:rPr>
            <w:fldChar w:fldCharType="end"/>
          </w:r>
        </w:p>
      </w:tc>
    </w:tr>
  </w:tbl>
  <w:p w14:paraId="2666D557" w14:textId="77777777" w:rsidR="005537D1" w:rsidRDefault="005537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8236"/>
      <w:gridCol w:w="834"/>
    </w:tblGrid>
    <w:tr w:rsidR="005537D1" w14:paraId="40B4AE50" w14:textId="77777777">
      <w:tc>
        <w:tcPr>
          <w:tcW w:w="8897" w:type="dxa"/>
          <w:tcBorders>
            <w:top w:val="nil"/>
            <w:left w:val="nil"/>
            <w:bottom w:val="nil"/>
            <w:right w:val="nil"/>
          </w:tcBorders>
        </w:tcPr>
        <w:p w14:paraId="6FBFE5CE" w14:textId="77777777" w:rsidR="005537D1" w:rsidRDefault="005537D1">
          <w:pPr>
            <w:pStyle w:val="Pieddepage"/>
            <w:tabs>
              <w:tab w:val="center" w:pos="6096"/>
            </w:tabs>
            <w:rPr>
              <w:rFonts w:ascii="Arial" w:hAnsi="Arial" w:cs="Arial"/>
              <w:color w:val="000000" w:themeColor="text1"/>
              <w:sz w:val="18"/>
              <w:szCs w:val="18"/>
            </w:rPr>
          </w:pPr>
          <w:r>
            <w:rPr>
              <w:rFonts w:ascii="Arial" w:hAnsi="Arial" w:cs="Arial"/>
              <w:color w:val="000000"/>
              <w:sz w:val="18"/>
              <w:szCs w:val="18"/>
            </w:rPr>
            <w:t>France 2030 - AAP « Innov Eau »</w:t>
          </w:r>
        </w:p>
      </w:tc>
      <w:tc>
        <w:tcPr>
          <w:tcW w:w="881" w:type="dxa"/>
          <w:tcBorders>
            <w:top w:val="nil"/>
            <w:left w:val="nil"/>
            <w:bottom w:val="nil"/>
            <w:right w:val="nil"/>
          </w:tcBorders>
          <w:vAlign w:val="center"/>
        </w:tcPr>
        <w:p w14:paraId="2FE0088C" w14:textId="457B6BC5" w:rsidR="005537D1" w:rsidRDefault="005537D1">
          <w:pPr>
            <w:pStyle w:val="Pieddepage"/>
            <w:tabs>
              <w:tab w:val="center" w:pos="6096"/>
            </w:tabs>
            <w:jc w:val="center"/>
            <w:rPr>
              <w:bCs/>
              <w:color w:val="000000"/>
              <w:sz w:val="18"/>
              <w:szCs w:val="32"/>
            </w:rPr>
          </w:pPr>
          <w:r>
            <w:rPr>
              <w:bCs/>
              <w:color w:val="000000"/>
              <w:sz w:val="18"/>
              <w:szCs w:val="32"/>
            </w:rPr>
            <w:fldChar w:fldCharType="begin"/>
          </w:r>
          <w:r>
            <w:rPr>
              <w:bCs/>
              <w:color w:val="000000"/>
              <w:sz w:val="18"/>
              <w:szCs w:val="32"/>
            </w:rPr>
            <w:instrText>PAGE   \* MERGEFORMAT</w:instrText>
          </w:r>
          <w:r>
            <w:rPr>
              <w:bCs/>
              <w:color w:val="000000"/>
              <w:sz w:val="18"/>
              <w:szCs w:val="32"/>
            </w:rPr>
            <w:fldChar w:fldCharType="separate"/>
          </w:r>
          <w:r w:rsidR="00DD6F0C">
            <w:rPr>
              <w:bCs/>
              <w:noProof/>
              <w:color w:val="000000"/>
              <w:sz w:val="18"/>
              <w:szCs w:val="32"/>
            </w:rPr>
            <w:t>1</w:t>
          </w:r>
          <w:r>
            <w:rPr>
              <w:bCs/>
              <w:color w:val="000000"/>
              <w:sz w:val="18"/>
              <w:szCs w:val="32"/>
            </w:rPr>
            <w:fldChar w:fldCharType="end"/>
          </w:r>
        </w:p>
      </w:tc>
    </w:tr>
  </w:tbl>
  <w:p w14:paraId="6E900987" w14:textId="77777777" w:rsidR="005537D1" w:rsidRDefault="005537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6650" w:type="dxa"/>
      <w:tblBorders>
        <w:top w:val="single" w:sz="8" w:space="0" w:color="00B0F0"/>
      </w:tblBorders>
      <w:tblLayout w:type="fixed"/>
      <w:tblLook w:val="0400" w:firstRow="0" w:lastRow="0" w:firstColumn="0" w:lastColumn="0" w:noHBand="0" w:noVBand="1"/>
    </w:tblPr>
    <w:tblGrid>
      <w:gridCol w:w="8789"/>
      <w:gridCol w:w="8789"/>
      <w:gridCol w:w="8789"/>
      <w:gridCol w:w="283"/>
    </w:tblGrid>
    <w:tr w:rsidR="005537D1" w14:paraId="5EF2BA91" w14:textId="77777777">
      <w:trPr>
        <w:trHeight w:val="456"/>
      </w:trPr>
      <w:tc>
        <w:tcPr>
          <w:tcW w:w="8789" w:type="dxa"/>
          <w:tcBorders>
            <w:top w:val="single" w:sz="8" w:space="0" w:color="00B0F0"/>
          </w:tcBorders>
        </w:tcPr>
        <w:p w14:paraId="2CE17528"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8789" w:type="dxa"/>
          <w:tcBorders>
            <w:top w:val="single" w:sz="8" w:space="0" w:color="00B0F0"/>
          </w:tcBorders>
        </w:tcPr>
        <w:p w14:paraId="60585C5E"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8789" w:type="dxa"/>
          <w:tcBorders>
            <w:top w:val="single" w:sz="8" w:space="0" w:color="00B0F0"/>
          </w:tcBorders>
          <w:shd w:val="clear" w:color="auto" w:fill="auto"/>
        </w:tcPr>
        <w:p w14:paraId="38DC5E03"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r>
            <w:rPr>
              <w:rFonts w:eastAsia="Times New Roman"/>
              <w:color w:val="000000"/>
              <w:sz w:val="18"/>
              <w:szCs w:val="18"/>
            </w:rPr>
            <w:t>France 2030 - AAP « Produits biosourcés et biotechnologies industrielles »</w:t>
          </w:r>
        </w:p>
      </w:tc>
      <w:tc>
        <w:tcPr>
          <w:tcW w:w="283" w:type="dxa"/>
          <w:tcBorders>
            <w:top w:val="single" w:sz="8" w:space="0" w:color="00B0F0"/>
          </w:tcBorders>
          <w:shd w:val="clear" w:color="auto" w:fill="auto"/>
        </w:tcPr>
        <w:p w14:paraId="790F6716" w14:textId="19C323D0"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3</w:t>
          </w:r>
          <w:r>
            <w:rPr>
              <w:rFonts w:eastAsia="Times New Roman"/>
              <w:color w:val="000000"/>
              <w:sz w:val="18"/>
              <w:szCs w:val="18"/>
            </w:rPr>
            <w:fldChar w:fldCharType="end"/>
          </w:r>
        </w:p>
      </w:tc>
    </w:tr>
  </w:tbl>
  <w:p w14:paraId="20EC2505" w14:textId="77777777" w:rsidR="005537D1" w:rsidRDefault="005537D1">
    <w:pPr>
      <w:widowControl w:val="0"/>
      <w:pBdr>
        <w:top w:val="nil"/>
        <w:left w:val="nil"/>
        <w:bottom w:val="nil"/>
        <w:right w:val="nil"/>
        <w:between w:val="nil"/>
      </w:pBdr>
      <w:spacing w:after="0" w:line="276"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776" w:type="dxa"/>
      <w:tblBorders>
        <w:top w:val="single" w:sz="8" w:space="0" w:color="00B0F0"/>
      </w:tblBorders>
      <w:tblLayout w:type="fixed"/>
      <w:tblLook w:val="0400" w:firstRow="0" w:lastRow="0" w:firstColumn="0" w:lastColumn="0" w:noHBand="0" w:noVBand="1"/>
    </w:tblPr>
    <w:tblGrid>
      <w:gridCol w:w="14034"/>
      <w:gridCol w:w="14034"/>
      <w:gridCol w:w="708"/>
    </w:tblGrid>
    <w:tr w:rsidR="005537D1" w14:paraId="4DFF5314" w14:textId="77777777">
      <w:trPr>
        <w:trHeight w:val="456"/>
      </w:trPr>
      <w:tc>
        <w:tcPr>
          <w:tcW w:w="14034" w:type="dxa"/>
          <w:tcBorders>
            <w:top w:val="single" w:sz="8" w:space="0" w:color="00B0F0"/>
          </w:tcBorders>
        </w:tcPr>
        <w:p w14:paraId="3AA9F8B4"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r>
            <w:rPr>
              <w:color w:val="000000"/>
              <w:sz w:val="18"/>
              <w:szCs w:val="18"/>
            </w:rPr>
            <w:t>France 2030 - AAP « Innov Eau »</w:t>
          </w:r>
        </w:p>
      </w:tc>
      <w:tc>
        <w:tcPr>
          <w:tcW w:w="14034" w:type="dxa"/>
          <w:tcBorders>
            <w:top w:val="single" w:sz="8" w:space="0" w:color="00B0F0"/>
          </w:tcBorders>
          <w:shd w:val="clear" w:color="auto" w:fill="auto"/>
        </w:tcPr>
        <w:p w14:paraId="25B6D820"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708" w:type="dxa"/>
          <w:tcBorders>
            <w:top w:val="single" w:sz="8" w:space="0" w:color="00B0F0"/>
          </w:tcBorders>
          <w:shd w:val="clear" w:color="auto" w:fill="auto"/>
        </w:tcPr>
        <w:p w14:paraId="728E0915" w14:textId="6B5E7362"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21</w:t>
          </w:r>
          <w:r>
            <w:rPr>
              <w:rFonts w:eastAsia="Times New Roman"/>
              <w:color w:val="000000"/>
              <w:sz w:val="18"/>
              <w:szCs w:val="18"/>
            </w:rPr>
            <w:fldChar w:fldCharType="end"/>
          </w:r>
        </w:p>
      </w:tc>
    </w:tr>
  </w:tbl>
  <w:p w14:paraId="57230832" w14:textId="77777777" w:rsidR="005537D1" w:rsidRDefault="005537D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3D44" w14:textId="77777777" w:rsidR="005537D1" w:rsidRDefault="005537D1"/>
  <w:tbl>
    <w:tblPr>
      <w:tblW w:w="14742" w:type="dxa"/>
      <w:tblBorders>
        <w:top w:val="single" w:sz="8" w:space="0" w:color="00B0F0"/>
      </w:tblBorders>
      <w:tblLayout w:type="fixed"/>
      <w:tblLook w:val="0400" w:firstRow="0" w:lastRow="0" w:firstColumn="0" w:lastColumn="0" w:noHBand="0" w:noVBand="1"/>
    </w:tblPr>
    <w:tblGrid>
      <w:gridCol w:w="14317"/>
      <w:gridCol w:w="425"/>
    </w:tblGrid>
    <w:tr w:rsidR="005537D1" w14:paraId="239B85CA" w14:textId="77777777">
      <w:trPr>
        <w:trHeight w:val="456"/>
      </w:trPr>
      <w:tc>
        <w:tcPr>
          <w:tcW w:w="14317" w:type="dxa"/>
          <w:tcBorders>
            <w:top w:val="single" w:sz="8" w:space="0" w:color="00B0F0"/>
          </w:tcBorders>
        </w:tcPr>
        <w:p w14:paraId="20642A1A"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425" w:type="dxa"/>
          <w:tcBorders>
            <w:top w:val="single" w:sz="8" w:space="0" w:color="00B0F0"/>
          </w:tcBorders>
          <w:shd w:val="clear" w:color="auto" w:fill="auto"/>
        </w:tcPr>
        <w:p w14:paraId="3DAFFD77" w14:textId="0B0C2A46"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20</w:t>
          </w:r>
          <w:r>
            <w:rPr>
              <w:rFonts w:eastAsia="Times New Roman"/>
              <w:color w:val="000000"/>
              <w:sz w:val="18"/>
              <w:szCs w:val="18"/>
            </w:rPr>
            <w:fldChar w:fldCharType="end"/>
          </w:r>
        </w:p>
      </w:tc>
    </w:tr>
  </w:tbl>
  <w:p w14:paraId="20685BC5" w14:textId="77777777" w:rsidR="005537D1" w:rsidRDefault="005537D1">
    <w:pPr>
      <w:widowControl w:val="0"/>
      <w:pBdr>
        <w:top w:val="nil"/>
        <w:left w:val="nil"/>
        <w:bottom w:val="nil"/>
        <w:right w:val="nil"/>
        <w:between w:val="nil"/>
      </w:pBdr>
      <w:spacing w:after="0" w:line="276"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63A6" w14:textId="77777777" w:rsidR="005537D1" w:rsidRDefault="005537D1"/>
  <w:tbl>
    <w:tblPr>
      <w:tblW w:w="26366" w:type="dxa"/>
      <w:tblBorders>
        <w:top w:val="single" w:sz="8" w:space="0" w:color="00B0F0"/>
      </w:tblBorders>
      <w:tblLayout w:type="fixed"/>
      <w:tblLook w:val="0400" w:firstRow="0" w:lastRow="0" w:firstColumn="0" w:lastColumn="0" w:noHBand="0" w:noVBand="1"/>
    </w:tblPr>
    <w:tblGrid>
      <w:gridCol w:w="6521"/>
      <w:gridCol w:w="10773"/>
      <w:gridCol w:w="8647"/>
      <w:gridCol w:w="425"/>
    </w:tblGrid>
    <w:tr w:rsidR="005537D1" w14:paraId="79CA92E7" w14:textId="77777777">
      <w:trPr>
        <w:trHeight w:val="456"/>
      </w:trPr>
      <w:tc>
        <w:tcPr>
          <w:tcW w:w="6521" w:type="dxa"/>
          <w:tcBorders>
            <w:top w:val="single" w:sz="8" w:space="0" w:color="00B0F0"/>
          </w:tcBorders>
        </w:tcPr>
        <w:p w14:paraId="6EEB9112"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10773" w:type="dxa"/>
          <w:tcBorders>
            <w:top w:val="single" w:sz="8" w:space="0" w:color="00B0F0"/>
          </w:tcBorders>
        </w:tcPr>
        <w:p w14:paraId="5E296177"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8647" w:type="dxa"/>
          <w:tcBorders>
            <w:top w:val="single" w:sz="8" w:space="0" w:color="00B0F0"/>
          </w:tcBorders>
          <w:shd w:val="clear" w:color="auto" w:fill="auto"/>
        </w:tcPr>
        <w:p w14:paraId="748CEADE"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425" w:type="dxa"/>
          <w:tcBorders>
            <w:top w:val="single" w:sz="8" w:space="0" w:color="00B0F0"/>
          </w:tcBorders>
          <w:shd w:val="clear" w:color="auto" w:fill="auto"/>
        </w:tcPr>
        <w:p w14:paraId="5D1B4247" w14:textId="2D6DB243"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26</w:t>
          </w:r>
          <w:r>
            <w:rPr>
              <w:rFonts w:eastAsia="Times New Roman"/>
              <w:color w:val="000000"/>
              <w:sz w:val="18"/>
              <w:szCs w:val="18"/>
            </w:rPr>
            <w:fldChar w:fldCharType="end"/>
          </w:r>
        </w:p>
      </w:tc>
    </w:tr>
  </w:tbl>
  <w:p w14:paraId="6B72A472" w14:textId="77777777" w:rsidR="005537D1" w:rsidRDefault="005537D1">
    <w:pPr>
      <w:widowControl w:val="0"/>
      <w:pBdr>
        <w:top w:val="nil"/>
        <w:left w:val="nil"/>
        <w:bottom w:val="nil"/>
        <w:right w:val="nil"/>
        <w:between w:val="nil"/>
      </w:pBdr>
      <w:spacing w:after="0" w:line="276" w:lineRule="auto"/>
      <w:jc w:val="left"/>
      <w:rPr>
        <w:color w:val="000000"/>
      </w:rPr>
    </w:pPr>
  </w:p>
  <w:p w14:paraId="281BA56C" w14:textId="77777777" w:rsidR="005537D1" w:rsidRDefault="005537D1">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8E2" w14:textId="77777777" w:rsidR="005537D1" w:rsidRDefault="005537D1">
    <w:pPr>
      <w:pStyle w:val="Pieddepage"/>
    </w:pPr>
    <w:r>
      <w:rPr>
        <w:noProof/>
      </w:rPr>
      <w:drawing>
        <wp:anchor distT="0" distB="0" distL="0" distR="0" simplePos="0" relativeHeight="251659264" behindDoc="0" locked="0" layoutInCell="1" hidden="0" allowOverlap="1" wp14:anchorId="58DCDB59" wp14:editId="2BD7D7D3">
          <wp:simplePos x="0" y="0"/>
          <wp:positionH relativeFrom="column">
            <wp:posOffset>-485775</wp:posOffset>
          </wp:positionH>
          <wp:positionV relativeFrom="paragraph">
            <wp:posOffset>161925</wp:posOffset>
          </wp:positionV>
          <wp:extent cx="7200265" cy="1117600"/>
          <wp:effectExtent l="0" t="0" r="0" b="0"/>
          <wp:wrapSquare wrapText="bothSides" distT="0" distB="0" distL="0" distR="0"/>
          <wp:docPr id="22" name="image4.jpg" descr="FONDVERSO"/>
          <wp:cNvGraphicFramePr/>
          <a:graphic xmlns:a="http://schemas.openxmlformats.org/drawingml/2006/main">
            <a:graphicData uri="http://schemas.openxmlformats.org/drawingml/2006/picture">
              <pic:pic xmlns:pic="http://schemas.openxmlformats.org/drawingml/2006/picture">
                <pic:nvPicPr>
                  <pic:cNvPr id="0" name="image4.jpg" descr="FONDVERSO"/>
                  <pic:cNvPicPr preferRelativeResize="0"/>
                </pic:nvPicPr>
                <pic:blipFill>
                  <a:blip r:embed="rId1"/>
                  <a:srcRect t="49273"/>
                  <a:stretch>
                    <a:fillRect/>
                  </a:stretch>
                </pic:blipFill>
                <pic:spPr>
                  <a:xfrm>
                    <a:off x="0" y="0"/>
                    <a:ext cx="7200265" cy="1117600"/>
                  </a:xfrm>
                  <a:prstGeom prst="rect">
                    <a:avLst/>
                  </a:prstGeom>
                  <a:ln/>
                </pic:spPr>
              </pic:pic>
            </a:graphicData>
          </a:graphic>
        </wp:anchor>
      </w:drawing>
    </w:r>
    <w:r>
      <w:rPr>
        <w:noProof/>
      </w:rPr>
      <w:drawing>
        <wp:anchor distT="0" distB="0" distL="0" distR="0" simplePos="0" relativeHeight="251661312" behindDoc="0" locked="0" layoutInCell="1" hidden="0" allowOverlap="1" wp14:anchorId="127F821C" wp14:editId="40AF3873">
          <wp:simplePos x="0" y="0"/>
          <wp:positionH relativeFrom="column">
            <wp:posOffset>152400</wp:posOffset>
          </wp:positionH>
          <wp:positionV relativeFrom="paragraph">
            <wp:posOffset>314325</wp:posOffset>
          </wp:positionV>
          <wp:extent cx="7200265" cy="1117600"/>
          <wp:effectExtent l="0" t="0" r="0" b="0"/>
          <wp:wrapSquare wrapText="bothSides" distT="0" distB="0" distL="0" distR="0"/>
          <wp:docPr id="23" name="image4.jpg" descr="FONDVERSO"/>
          <wp:cNvGraphicFramePr/>
          <a:graphic xmlns:a="http://schemas.openxmlformats.org/drawingml/2006/main">
            <a:graphicData uri="http://schemas.openxmlformats.org/drawingml/2006/picture">
              <pic:pic xmlns:pic="http://schemas.openxmlformats.org/drawingml/2006/picture">
                <pic:nvPicPr>
                  <pic:cNvPr id="0" name="image4.jpg" descr="FONDVERSO"/>
                  <pic:cNvPicPr preferRelativeResize="0"/>
                </pic:nvPicPr>
                <pic:blipFill>
                  <a:blip r:embed="rId1"/>
                  <a:srcRect t="49273"/>
                  <a:stretch>
                    <a:fillRect/>
                  </a:stretch>
                </pic:blipFill>
                <pic:spPr>
                  <a:xfrm>
                    <a:off x="0" y="0"/>
                    <a:ext cx="7200265" cy="1117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1B60" w14:textId="77777777" w:rsidR="005537D1" w:rsidRDefault="005537D1">
      <w:pPr>
        <w:spacing w:after="0"/>
      </w:pPr>
      <w:r>
        <w:separator/>
      </w:r>
    </w:p>
  </w:footnote>
  <w:footnote w:type="continuationSeparator" w:id="0">
    <w:p w14:paraId="05B82868" w14:textId="77777777" w:rsidR="005537D1" w:rsidRDefault="005537D1">
      <w:pPr>
        <w:spacing w:after="0"/>
      </w:pPr>
      <w:r>
        <w:continuationSeparator/>
      </w:r>
    </w:p>
  </w:footnote>
  <w:footnote w:id="1">
    <w:p w14:paraId="0BD03CF6"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Les définitions en cours d’écriture dans les différents projets de réglementation (arrêté sécheresse, décret REUT, décret REUT IAA) primeront sur ces propositions de définitions dès leur promulgation.</w:t>
      </w:r>
    </w:p>
  </w:footnote>
  <w:footnote w:id="2">
    <w:p w14:paraId="4EBF665C" w14:textId="77777777" w:rsidR="005537D1" w:rsidRDefault="005537D1">
      <w:pPr>
        <w:autoSpaceDE w:val="0"/>
        <w:autoSpaceDN w:val="0"/>
        <w:adjustRightInd w:val="0"/>
        <w:spacing w:after="0"/>
        <w:rPr>
          <w:rFonts w:ascii="Marianne" w:hAnsi="Marianne" w:cs="Helvetica"/>
          <w:sz w:val="18"/>
          <w:szCs w:val="18"/>
        </w:rPr>
      </w:pPr>
      <w:r>
        <w:rPr>
          <w:rStyle w:val="Appelnotedebasdep"/>
          <w:rFonts w:ascii="Marianne" w:hAnsi="Marianne"/>
          <w:sz w:val="18"/>
          <w:szCs w:val="18"/>
        </w:rPr>
        <w:footnoteRef/>
      </w:r>
      <w:r>
        <w:rPr>
          <w:rFonts w:ascii="Marianne" w:hAnsi="Marianne"/>
          <w:sz w:val="18"/>
          <w:szCs w:val="18"/>
        </w:rPr>
        <w:t xml:space="preserve"> </w:t>
      </w:r>
      <w:r>
        <w:rPr>
          <w:rFonts w:ascii="Marianne" w:hAnsi="Marianne" w:cs="Helvetica"/>
          <w:sz w:val="18"/>
          <w:szCs w:val="18"/>
        </w:rPr>
        <w:t>Règlement (UE) 2020/852 sur l’établissement d’un cadre visant à favoriser les investissements durables, en mettant en place un système de classification (ou «taxonomie») pour les activités économiques durables sur le plan environnemental, publié au journal officiel de l’UE le 22 juin 2020</w:t>
      </w:r>
    </w:p>
  </w:footnote>
  <w:footnote w:id="3">
    <w:p w14:paraId="1FC6ABB8"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En accord avec le RGEC, une</w:t>
      </w:r>
      <w:r>
        <w:rPr>
          <w:rFonts w:ascii="Marianne" w:hAnsi="Marianne"/>
          <w:color w:val="000000"/>
          <w:sz w:val="18"/>
          <w:szCs w:val="18"/>
        </w:rPr>
        <w:t xml:space="preserve"> demande d'aide doit a minima contenir les informations suivantes : a) le nom et la taille de la société porteur de projet; b) une description du projet, y compris ses dates de début et de fin ; c) la localisation du projet ; d) une liste des coûts admissibles ; e) le type d’aide sollicitée (subvention, avance récupérable) f) le montant de l’aide sollicitée.</w:t>
      </w:r>
    </w:p>
  </w:footnote>
  <w:footnote w:id="4">
    <w:p w14:paraId="23B67295"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Recherche Développement, Innovation</w:t>
      </w:r>
    </w:p>
  </w:footnote>
  <w:footnote w:id="5">
    <w:p w14:paraId="29569592"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Protection de l’Environnement</w:t>
      </w:r>
    </w:p>
  </w:footnote>
  <w:footnote w:id="6">
    <w:p w14:paraId="79B4DAE7"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w:t>
      </w:r>
      <w:r>
        <w:rPr>
          <w:rFonts w:ascii="Marianne" w:hAnsi="Marianne"/>
          <w:color w:val="000000"/>
          <w:sz w:val="18"/>
          <w:szCs w:val="18"/>
        </w:rPr>
        <w:t>La solution de référence, telle que retenue dans le cadre de l’instruction, s’entend comme un investissement comparable sur le plan technique qui pourrait être vraisemblablement réalisé sans aide et qui ne permet pas d’atteindre le même niveau de protection de l'environnement.</w:t>
      </w:r>
    </w:p>
  </w:footnote>
  <w:footnote w:id="7">
    <w:p w14:paraId="2A3EBA18"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au sens européen</w:t>
      </w:r>
      <w:r>
        <w:rPr>
          <w:rFonts w:ascii="Calibri" w:hAnsi="Calibri" w:cs="Calibri"/>
          <w:sz w:val="18"/>
          <w:szCs w:val="18"/>
        </w:rPr>
        <w:t> </w:t>
      </w:r>
      <w:r>
        <w:rPr>
          <w:rFonts w:ascii="Marianne" w:hAnsi="Marianne"/>
          <w:sz w:val="18"/>
          <w:szCs w:val="18"/>
        </w:rPr>
        <w:t xml:space="preserve">: </w:t>
      </w:r>
      <w:hyperlink r:id="rId1" w:history="1">
        <w:r>
          <w:rPr>
            <w:rStyle w:val="Lienhypertexte"/>
            <w:rFonts w:ascii="Marianne" w:hAnsi="Marianne"/>
            <w:sz w:val="18"/>
            <w:szCs w:val="18"/>
          </w:rPr>
          <w:t>https://op.europa.eu/fr/publication-detail/-/publication/79c0ce87-f4dc-11e6-8a35-01aa75ed71a1</w:t>
        </w:r>
      </w:hyperlink>
      <w:r>
        <w:rPr>
          <w:rFonts w:ascii="Marianne" w:hAnsi="Marianne"/>
          <w:sz w:val="18"/>
          <w:szCs w:val="18"/>
        </w:rPr>
        <w:t xml:space="preserve"> ; </w:t>
      </w:r>
      <w:hyperlink r:id="rId2" w:history="1">
        <w:r>
          <w:rPr>
            <w:rStyle w:val="Lienhypertexte"/>
            <w:rFonts w:ascii="Marianne" w:hAnsi="Marianne"/>
            <w:sz w:val="18"/>
            <w:szCs w:val="18"/>
          </w:rPr>
          <w:t>https://www.legifrance.gouv.fr/affichTexte.do?cidTexte=JORFTEXT000019961059</w:t>
        </w:r>
      </w:hyperlink>
    </w:p>
  </w:footnote>
  <w:footnote w:id="8">
    <w:p w14:paraId="4375ED08" w14:textId="77777777" w:rsidR="005537D1" w:rsidRDefault="005537D1">
      <w:pPr>
        <w:spacing w:after="0"/>
        <w:rPr>
          <w:rFonts w:ascii="Marianne" w:hAnsi="Marianne"/>
          <w:sz w:val="18"/>
          <w:szCs w:val="18"/>
        </w:rPr>
      </w:pPr>
      <w:r>
        <w:rPr>
          <w:rFonts w:ascii="Marianne" w:hAnsi="Marianne"/>
          <w:sz w:val="18"/>
          <w:szCs w:val="18"/>
          <w:vertAlign w:val="superscript"/>
        </w:rPr>
        <w:footnoteRef/>
      </w:r>
      <w:r>
        <w:rPr>
          <w:rFonts w:ascii="Marianne" w:hAnsi="Marianne"/>
          <w:sz w:val="18"/>
          <w:szCs w:val="18"/>
        </w:rPr>
        <w:t xml:space="preserve"> Une des conditions suivantes est remplie :</w:t>
      </w:r>
    </w:p>
    <w:p w14:paraId="1E131C3B" w14:textId="77777777" w:rsidR="005537D1" w:rsidRDefault="005537D1">
      <w:pPr>
        <w:numPr>
          <w:ilvl w:val="0"/>
          <w:numId w:val="8"/>
        </w:numPr>
        <w:pBdr>
          <w:top w:val="nil"/>
          <w:left w:val="nil"/>
          <w:bottom w:val="nil"/>
          <w:right w:val="nil"/>
          <w:between w:val="nil"/>
        </w:pBdr>
        <w:spacing w:after="0"/>
        <w:ind w:left="709"/>
        <w:rPr>
          <w:rFonts w:ascii="Marianne" w:hAnsi="Marianne"/>
          <w:sz w:val="18"/>
          <w:szCs w:val="18"/>
        </w:rPr>
      </w:pPr>
      <w:r>
        <w:rPr>
          <w:rFonts w:ascii="Marianne" w:hAnsi="Marianne"/>
          <w:color w:val="000000"/>
          <w:sz w:val="18"/>
          <w:szCs w:val="18"/>
        </w:rPr>
        <w:t>Le projet repose sur une collaboration effective (pas de sous-traitance) entre des entreprises parmi lesquelles figure au moins une PME et aucune entreprise ne supporte seule plus de 70 % des coûts admissibles du projet</w:t>
      </w:r>
      <w:r>
        <w:rPr>
          <w:rFonts w:ascii="Calibri" w:hAnsi="Calibri" w:cs="Calibri"/>
          <w:color w:val="000000"/>
          <w:sz w:val="18"/>
          <w:szCs w:val="18"/>
        </w:rPr>
        <w:t> </w:t>
      </w:r>
      <w:r>
        <w:rPr>
          <w:rFonts w:ascii="Marianne" w:hAnsi="Marianne"/>
          <w:color w:val="000000"/>
          <w:sz w:val="18"/>
          <w:szCs w:val="18"/>
        </w:rPr>
        <w:t>;</w:t>
      </w:r>
    </w:p>
    <w:p w14:paraId="5E2ED27B" w14:textId="77777777" w:rsidR="005537D1" w:rsidRDefault="005537D1">
      <w:pPr>
        <w:numPr>
          <w:ilvl w:val="0"/>
          <w:numId w:val="8"/>
        </w:numPr>
        <w:pBdr>
          <w:top w:val="nil"/>
          <w:left w:val="nil"/>
          <w:bottom w:val="nil"/>
          <w:right w:val="nil"/>
          <w:between w:val="nil"/>
        </w:pBdr>
        <w:spacing w:after="0"/>
        <w:ind w:left="709"/>
        <w:rPr>
          <w:rFonts w:ascii="Marianne" w:hAnsi="Marianne"/>
          <w:sz w:val="18"/>
          <w:szCs w:val="18"/>
        </w:rPr>
      </w:pPr>
      <w:r>
        <w:rPr>
          <w:rFonts w:ascii="Marianne" w:hAnsi="Marianne"/>
          <w:color w:val="000000"/>
          <w:sz w:val="18"/>
          <w:szCs w:val="18"/>
        </w:rPr>
        <w:t>Le projet repose sur une collaboration effective entre une entreprise et un ou plusieurs organismes de recherche et ces derniers supportent au moins 10% des coûts admissibles du projet et ont le droit de publier les résultats de leurs propres recherches.</w:t>
      </w:r>
    </w:p>
  </w:footnote>
  <w:footnote w:id="9">
    <w:p w14:paraId="454DAAB9" w14:textId="77777777" w:rsidR="005537D1" w:rsidRDefault="005537D1">
      <w:pPr>
        <w:rPr>
          <w:rFonts w:ascii="Marianne" w:hAnsi="Marianne"/>
          <w:sz w:val="18"/>
          <w:szCs w:val="18"/>
        </w:rPr>
      </w:pPr>
      <w:r>
        <w:rPr>
          <w:rFonts w:ascii="Marianne" w:hAnsi="Marianne"/>
          <w:sz w:val="18"/>
          <w:szCs w:val="18"/>
          <w:vertAlign w:val="superscript"/>
        </w:rPr>
        <w:footnoteRef/>
      </w:r>
      <w:r>
        <w:rPr>
          <w:rFonts w:ascii="Marianne" w:hAnsi="Marianne"/>
          <w:sz w:val="18"/>
          <w:szCs w:val="18"/>
        </w:rPr>
        <w:t xml:space="preserve"> Entre autres</w:t>
      </w:r>
      <w:r>
        <w:rPr>
          <w:rFonts w:ascii="Calibri" w:hAnsi="Calibri" w:cs="Calibri"/>
          <w:sz w:val="18"/>
          <w:szCs w:val="18"/>
        </w:rPr>
        <w:t> </w:t>
      </w:r>
      <w:r>
        <w:rPr>
          <w:rFonts w:ascii="Marianne" w:hAnsi="Marianne"/>
          <w:sz w:val="18"/>
          <w:szCs w:val="18"/>
        </w:rPr>
        <w:t xml:space="preserve">: </w:t>
      </w:r>
    </w:p>
    <w:p w14:paraId="4F9B6694" w14:textId="77777777" w:rsidR="005537D1" w:rsidRDefault="005537D1">
      <w:pPr>
        <w:rPr>
          <w:rFonts w:ascii="Marianne" w:hAnsi="Marianne"/>
          <w:sz w:val="18"/>
          <w:szCs w:val="18"/>
        </w:rPr>
      </w:pPr>
      <w:r>
        <w:rPr>
          <w:rFonts w:ascii="Marianne" w:hAnsi="Marianne"/>
          <w:sz w:val="18"/>
          <w:szCs w:val="18"/>
        </w:rPr>
        <w:t>- Activités relevant de prérogatives de puissance publiques, lorsque les entités publiques agissent «</w:t>
      </w:r>
      <w:r>
        <w:rPr>
          <w:rFonts w:ascii="Calibri" w:hAnsi="Calibri" w:cs="Calibri"/>
          <w:sz w:val="18"/>
          <w:szCs w:val="18"/>
        </w:rPr>
        <w:t> </w:t>
      </w:r>
      <w:r>
        <w:rPr>
          <w:rFonts w:ascii="Marianne" w:hAnsi="Marianne"/>
          <w:sz w:val="18"/>
          <w:szCs w:val="18"/>
        </w:rPr>
        <w:t>dans leur qualit</w:t>
      </w:r>
      <w:r>
        <w:rPr>
          <w:rFonts w:ascii="Marianne" w:hAnsi="Marianne" w:cs="Marianne"/>
          <w:sz w:val="18"/>
          <w:szCs w:val="18"/>
        </w:rPr>
        <w:t>é</w:t>
      </w:r>
      <w:r>
        <w:rPr>
          <w:rFonts w:ascii="Marianne" w:hAnsi="Marianne"/>
          <w:sz w:val="18"/>
          <w:szCs w:val="18"/>
        </w:rPr>
        <w:t xml:space="preserve"> d</w:t>
      </w:r>
      <w:r>
        <w:rPr>
          <w:rFonts w:ascii="Marianne" w:hAnsi="Marianne" w:cs="Marianne"/>
          <w:sz w:val="18"/>
          <w:szCs w:val="18"/>
        </w:rPr>
        <w:t>’</w:t>
      </w:r>
      <w:r>
        <w:rPr>
          <w:rFonts w:ascii="Marianne" w:hAnsi="Marianne"/>
          <w:sz w:val="18"/>
          <w:szCs w:val="18"/>
        </w:rPr>
        <w:t>autorit</w:t>
      </w:r>
      <w:r>
        <w:rPr>
          <w:rFonts w:ascii="Marianne" w:hAnsi="Marianne" w:cs="Marianne"/>
          <w:sz w:val="18"/>
          <w:szCs w:val="18"/>
        </w:rPr>
        <w:t>é</w:t>
      </w:r>
      <w:r>
        <w:rPr>
          <w:rFonts w:ascii="Marianne" w:hAnsi="Marianne"/>
          <w:sz w:val="18"/>
          <w:szCs w:val="18"/>
        </w:rPr>
        <w:t>s publiques. Il en est ainsi par exemple des activit</w:t>
      </w:r>
      <w:r>
        <w:rPr>
          <w:rFonts w:ascii="Marianne" w:hAnsi="Marianne" w:cs="Marianne"/>
          <w:sz w:val="18"/>
          <w:szCs w:val="18"/>
        </w:rPr>
        <w:t>é</w:t>
      </w:r>
      <w:r>
        <w:rPr>
          <w:rFonts w:ascii="Marianne" w:hAnsi="Marianne"/>
          <w:sz w:val="18"/>
          <w:szCs w:val="18"/>
        </w:rPr>
        <w:t>s li</w:t>
      </w:r>
      <w:r>
        <w:rPr>
          <w:rFonts w:ascii="Marianne" w:hAnsi="Marianne" w:cs="Marianne"/>
          <w:sz w:val="18"/>
          <w:szCs w:val="18"/>
        </w:rPr>
        <w:t>é</w:t>
      </w:r>
      <w:r>
        <w:rPr>
          <w:rFonts w:ascii="Marianne" w:hAnsi="Marianne"/>
          <w:sz w:val="18"/>
          <w:szCs w:val="18"/>
        </w:rPr>
        <w:t xml:space="preserve">es </w:t>
      </w:r>
      <w:r>
        <w:rPr>
          <w:rFonts w:ascii="Marianne" w:hAnsi="Marianne" w:cs="Marianne"/>
          <w:sz w:val="18"/>
          <w:szCs w:val="18"/>
        </w:rPr>
        <w:t>à</w:t>
      </w:r>
      <w:r>
        <w:rPr>
          <w:rFonts w:ascii="Marianne" w:hAnsi="Marianne"/>
          <w:sz w:val="18"/>
          <w:szCs w:val="18"/>
        </w:rPr>
        <w:t xml:space="preserve"> l</w:t>
      </w:r>
      <w:r>
        <w:rPr>
          <w:rFonts w:ascii="Marianne" w:hAnsi="Marianne" w:cs="Marianne"/>
          <w:sz w:val="18"/>
          <w:szCs w:val="18"/>
        </w:rPr>
        <w:t>’</w:t>
      </w:r>
      <w:r>
        <w:rPr>
          <w:rFonts w:ascii="Marianne" w:hAnsi="Marianne"/>
          <w:sz w:val="18"/>
          <w:szCs w:val="18"/>
        </w:rPr>
        <w:t>arm</w:t>
      </w:r>
      <w:r>
        <w:rPr>
          <w:rFonts w:ascii="Marianne" w:hAnsi="Marianne" w:cs="Marianne"/>
          <w:sz w:val="18"/>
          <w:szCs w:val="18"/>
        </w:rPr>
        <w:t>é</w:t>
      </w:r>
      <w:r>
        <w:rPr>
          <w:rFonts w:ascii="Marianne" w:hAnsi="Marianne"/>
          <w:sz w:val="18"/>
          <w:szCs w:val="18"/>
        </w:rPr>
        <w:t>e, la police, la justice, les activit</w:t>
      </w:r>
      <w:r>
        <w:rPr>
          <w:rFonts w:ascii="Marianne" w:hAnsi="Marianne" w:cs="Marianne"/>
          <w:sz w:val="18"/>
          <w:szCs w:val="18"/>
        </w:rPr>
        <w:t>é</w:t>
      </w:r>
      <w:r>
        <w:rPr>
          <w:rFonts w:ascii="Marianne" w:hAnsi="Marianne"/>
          <w:sz w:val="18"/>
          <w:szCs w:val="18"/>
        </w:rPr>
        <w:t>s de surveillance antipollution, le contr</w:t>
      </w:r>
      <w:r>
        <w:rPr>
          <w:rFonts w:ascii="Marianne" w:hAnsi="Marianne" w:cs="Marianne"/>
          <w:sz w:val="18"/>
          <w:szCs w:val="18"/>
        </w:rPr>
        <w:t>ô</w:t>
      </w:r>
      <w:r>
        <w:rPr>
          <w:rFonts w:ascii="Marianne" w:hAnsi="Marianne"/>
          <w:sz w:val="18"/>
          <w:szCs w:val="18"/>
        </w:rPr>
        <w:t>le des voies navigables, etc.,</w:t>
      </w:r>
    </w:p>
    <w:p w14:paraId="17BB20C6" w14:textId="77777777" w:rsidR="005537D1" w:rsidRDefault="005537D1">
      <w:pPr>
        <w:rPr>
          <w:rFonts w:ascii="Marianne" w:hAnsi="Marianne"/>
          <w:sz w:val="18"/>
          <w:szCs w:val="18"/>
        </w:rPr>
      </w:pPr>
      <w:r>
        <w:rPr>
          <w:rFonts w:ascii="Marianne" w:hAnsi="Marianne"/>
          <w:sz w:val="18"/>
          <w:szCs w:val="18"/>
        </w:rPr>
        <w:t>- Activités de R&amp;D amont des organismes de recherche en vue de connaissances plus étendues, sans garantie de résultats, et d’une diffusion large et le plus souvent gratuite des résultats de recherche.</w:t>
      </w:r>
    </w:p>
  </w:footnote>
  <w:footnote w:id="10">
    <w:p w14:paraId="00E4F9B7"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Règlement (UE) 2020/852 sur l’établissement d’un cadre visant à favoriser les investissements durables, en mettant en place un système de classification (ou «taxonomie») pour les activités économiques durables sur le plan environnemental, publié au journal officiel de l’UE le 22 juin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C15E" w14:textId="77777777" w:rsidR="005537D1" w:rsidRDefault="005537D1">
    <w:pPr>
      <w:pStyle w:val="En-tte"/>
    </w:pPr>
    <w:r>
      <w:rPr>
        <w:noProof/>
      </w:rPr>
      <w:drawing>
        <wp:anchor distT="0" distB="0" distL="114300" distR="114300" simplePos="0" relativeHeight="251667456" behindDoc="0" locked="0" layoutInCell="1" allowOverlap="1" wp14:anchorId="0F39291D" wp14:editId="1EEB01DF">
          <wp:simplePos x="0" y="0"/>
          <wp:positionH relativeFrom="column">
            <wp:posOffset>5023485</wp:posOffset>
          </wp:positionH>
          <wp:positionV relativeFrom="paragraph">
            <wp:posOffset>457200</wp:posOffset>
          </wp:positionV>
          <wp:extent cx="665480" cy="790575"/>
          <wp:effectExtent l="0" t="0" r="1270" b="9525"/>
          <wp:wrapSquare wrapText="bothSides"/>
          <wp:docPr id="1" name="Image 1"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8B394AA" wp14:editId="5C5B10A1">
          <wp:simplePos x="0" y="0"/>
          <wp:positionH relativeFrom="margin">
            <wp:posOffset>-180975</wp:posOffset>
          </wp:positionH>
          <wp:positionV relativeFrom="paragraph">
            <wp:posOffset>219075</wp:posOffset>
          </wp:positionV>
          <wp:extent cx="1711953" cy="1008380"/>
          <wp:effectExtent l="0" t="0" r="3175" b="1270"/>
          <wp:wrapNone/>
          <wp:docPr id="4" name="Image 4"/>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53" cy="10083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C3E" w14:textId="77777777" w:rsidR="005537D1" w:rsidRDefault="005537D1">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5693" w14:textId="77777777" w:rsidR="005537D1" w:rsidRDefault="005537D1">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EB18" w14:textId="77777777" w:rsidR="005537D1" w:rsidRDefault="005537D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D27B" w14:textId="77777777" w:rsidR="005537D1" w:rsidRDefault="005537D1">
    <w:pPr>
      <w:pBdr>
        <w:top w:val="nil"/>
        <w:left w:val="nil"/>
        <w:bottom w:val="nil"/>
        <w:right w:val="nil"/>
        <w:between w:val="nil"/>
      </w:pBdr>
      <w:tabs>
        <w:tab w:val="center" w:pos="4536"/>
        <w:tab w:val="right" w:pos="9072"/>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3080" w14:textId="77777777" w:rsidR="005537D1" w:rsidRDefault="005537D1">
    <w:pPr>
      <w:pBdr>
        <w:top w:val="nil"/>
        <w:left w:val="nil"/>
        <w:bottom w:val="nil"/>
        <w:right w:val="nil"/>
        <w:between w:val="nil"/>
      </w:pBdr>
      <w:tabs>
        <w:tab w:val="center" w:pos="4536"/>
        <w:tab w:val="right" w:pos="9072"/>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15EC" w14:textId="77777777" w:rsidR="005537D1" w:rsidRDefault="005537D1">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2C99C648" wp14:editId="2258912C">
          <wp:extent cx="1073785" cy="121221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3785" cy="1212215"/>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3AC616BB" wp14:editId="5C62E44A">
          <wp:extent cx="1869440" cy="1089013"/>
          <wp:effectExtent l="0" t="0" r="0" b="0"/>
          <wp:docPr id="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41126" b="-41126"/>
                  <a:stretch>
                    <a:fillRect/>
                  </a:stretch>
                </pic:blipFill>
                <pic:spPr>
                  <a:xfrm>
                    <a:off x="0" y="0"/>
                    <a:ext cx="1869440" cy="1089013"/>
                  </a:xfrm>
                  <a:prstGeom prst="rect">
                    <a:avLst/>
                  </a:prstGeom>
                  <a:ln/>
                </pic:spPr>
              </pic:pic>
            </a:graphicData>
          </a:graphic>
        </wp:inline>
      </w:drawing>
    </w:r>
  </w:p>
  <w:p w14:paraId="2609DA39" w14:textId="77777777" w:rsidR="005537D1" w:rsidRDefault="005537D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293"/>
    <w:multiLevelType w:val="hybridMultilevel"/>
    <w:tmpl w:val="A9E0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B4347"/>
    <w:multiLevelType w:val="hybridMultilevel"/>
    <w:tmpl w:val="80C47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94FEE"/>
    <w:multiLevelType w:val="multilevel"/>
    <w:tmpl w:val="239A5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733C3B"/>
    <w:multiLevelType w:val="multilevel"/>
    <w:tmpl w:val="394474E4"/>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701246"/>
    <w:multiLevelType w:val="multilevel"/>
    <w:tmpl w:val="6F6637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4C2DE4"/>
    <w:multiLevelType w:val="multilevel"/>
    <w:tmpl w:val="63AE9BE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B3E2D2C"/>
    <w:multiLevelType w:val="multilevel"/>
    <w:tmpl w:val="4BEC19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i w:val="0"/>
        <w:smallCaps w:val="0"/>
        <w:strike w:val="0"/>
        <w:u w:val="none"/>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4865FC"/>
    <w:multiLevelType w:val="hybridMultilevel"/>
    <w:tmpl w:val="6CA8FF14"/>
    <w:lvl w:ilvl="0" w:tplc="9D9E234E">
      <w:start w:val="4"/>
      <w:numFmt w:val="bullet"/>
      <w:lvlText w:val="-"/>
      <w:lvlJc w:val="left"/>
      <w:pPr>
        <w:ind w:left="720" w:hanging="360"/>
      </w:pPr>
      <w:rPr>
        <w:rFonts w:ascii="Marianne" w:eastAsiaTheme="minorHAnsi" w:hAnsi="Marianne" w:cs="Liberation San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3931EC"/>
    <w:multiLevelType w:val="hybridMultilevel"/>
    <w:tmpl w:val="EAC66C7A"/>
    <w:lvl w:ilvl="0" w:tplc="70F4D0D4">
      <w:numFmt w:val="bullet"/>
      <w:lvlText w:val="-"/>
      <w:lvlJc w:val="left"/>
      <w:pPr>
        <w:ind w:left="720" w:hanging="360"/>
      </w:pPr>
      <w:rPr>
        <w:rFonts w:ascii="Marianne" w:eastAsia="Arial" w:hAnsi="Marianne" w:cs="Segoe UI 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32358A"/>
    <w:multiLevelType w:val="hybridMultilevel"/>
    <w:tmpl w:val="70ECA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A56D8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59641579"/>
    <w:multiLevelType w:val="multilevel"/>
    <w:tmpl w:val="FC40EEB8"/>
    <w:lvl w:ilvl="0">
      <w:start w:val="1"/>
      <w:numFmt w:val="bullet"/>
      <w:lvlText w:val="●"/>
      <w:lvlJc w:val="left"/>
      <w:pPr>
        <w:ind w:left="643" w:hanging="360"/>
      </w:pPr>
      <w:rPr>
        <w:rFonts w:ascii="Noto Sans Symbols" w:eastAsia="Noto Sans Symbols" w:hAnsi="Noto Sans Symbols" w:cs="Noto Sans Symbols"/>
        <w:color w:val="000000"/>
        <w:sz w:val="18"/>
        <w:szCs w:val="18"/>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2" w15:restartNumberingAfterBreak="0">
    <w:nsid w:val="5BC0107F"/>
    <w:multiLevelType w:val="hybridMultilevel"/>
    <w:tmpl w:val="A7FE6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351560"/>
    <w:multiLevelType w:val="hybridMultilevel"/>
    <w:tmpl w:val="C9A090EC"/>
    <w:lvl w:ilvl="0" w:tplc="3E40926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3256F6"/>
    <w:multiLevelType w:val="multilevel"/>
    <w:tmpl w:val="E05EF3A6"/>
    <w:lvl w:ilvl="0">
      <w:start w:val="1"/>
      <w:numFmt w:val="bullet"/>
      <w:lvlText w:val="-"/>
      <w:lvlJc w:val="left"/>
      <w:pPr>
        <w:ind w:left="360" w:hanging="360"/>
      </w:pPr>
      <w:rPr>
        <w:rFonts w:ascii="Arial" w:eastAsia="Arial" w:hAnsi="Arial" w:cs="Arial"/>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1911214"/>
    <w:multiLevelType w:val="hybridMultilevel"/>
    <w:tmpl w:val="46049280"/>
    <w:lvl w:ilvl="0" w:tplc="9D9E234E">
      <w:start w:val="4"/>
      <w:numFmt w:val="bullet"/>
      <w:lvlText w:val="-"/>
      <w:lvlJc w:val="left"/>
      <w:pPr>
        <w:ind w:left="720" w:hanging="360"/>
      </w:pPr>
      <w:rPr>
        <w:rFonts w:ascii="Marianne" w:eastAsiaTheme="minorHAnsi" w:hAnsi="Marianne" w:cs="Liberation Sans" w:hint="default"/>
      </w:rPr>
    </w:lvl>
    <w:lvl w:ilvl="1" w:tplc="D56646BC">
      <w:start w:val="1"/>
      <w:numFmt w:val="decimal"/>
      <w:lvlText w:val="%2)"/>
      <w:lvlJc w:val="left"/>
      <w:pPr>
        <w:ind w:left="1440" w:hanging="360"/>
      </w:pPr>
      <w:rPr>
        <w:rFonts w:ascii="Marianne" w:eastAsia="Arial MT" w:hAnsi="Marianne" w:cs="Arial M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263FF7"/>
    <w:multiLevelType w:val="hybridMultilevel"/>
    <w:tmpl w:val="BEFA0B68"/>
    <w:lvl w:ilvl="0" w:tplc="9D9E234E">
      <w:start w:val="4"/>
      <w:numFmt w:val="bullet"/>
      <w:lvlText w:val="-"/>
      <w:lvlJc w:val="left"/>
      <w:pPr>
        <w:ind w:left="720" w:hanging="360"/>
      </w:pPr>
      <w:rPr>
        <w:rFonts w:ascii="Marianne" w:eastAsiaTheme="minorHAnsi" w:hAnsi="Marianne" w:cs="Liberation San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4718A7"/>
    <w:multiLevelType w:val="multilevel"/>
    <w:tmpl w:val="ED58C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85404C"/>
    <w:multiLevelType w:val="hybridMultilevel"/>
    <w:tmpl w:val="C44E6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CB3AF6"/>
    <w:multiLevelType w:val="hybridMultilevel"/>
    <w:tmpl w:val="79DE95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D85EC7"/>
    <w:multiLevelType w:val="multilevel"/>
    <w:tmpl w:val="A77CF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7372009">
    <w:abstractNumId w:val="5"/>
  </w:num>
  <w:num w:numId="2" w16cid:durableId="538709131">
    <w:abstractNumId w:val="10"/>
  </w:num>
  <w:num w:numId="3" w16cid:durableId="1036779613">
    <w:abstractNumId w:val="14"/>
  </w:num>
  <w:num w:numId="4" w16cid:durableId="2062823464">
    <w:abstractNumId w:val="3"/>
  </w:num>
  <w:num w:numId="5" w16cid:durableId="217862250">
    <w:abstractNumId w:val="12"/>
  </w:num>
  <w:num w:numId="6" w16cid:durableId="225452847">
    <w:abstractNumId w:val="20"/>
  </w:num>
  <w:num w:numId="7" w16cid:durableId="1303803755">
    <w:abstractNumId w:val="4"/>
  </w:num>
  <w:num w:numId="8" w16cid:durableId="1009478788">
    <w:abstractNumId w:val="11"/>
  </w:num>
  <w:num w:numId="9" w16cid:durableId="1512530077">
    <w:abstractNumId w:val="17"/>
  </w:num>
  <w:num w:numId="10" w16cid:durableId="617108847">
    <w:abstractNumId w:val="2"/>
  </w:num>
  <w:num w:numId="11" w16cid:durableId="1480881970">
    <w:abstractNumId w:val="0"/>
  </w:num>
  <w:num w:numId="12" w16cid:durableId="2018118559">
    <w:abstractNumId w:val="1"/>
  </w:num>
  <w:num w:numId="13" w16cid:durableId="1990667289">
    <w:abstractNumId w:val="6"/>
  </w:num>
  <w:num w:numId="14" w16cid:durableId="808086486">
    <w:abstractNumId w:val="18"/>
  </w:num>
  <w:num w:numId="15" w16cid:durableId="821505546">
    <w:abstractNumId w:val="9"/>
  </w:num>
  <w:num w:numId="16" w16cid:durableId="1520580014">
    <w:abstractNumId w:val="15"/>
  </w:num>
  <w:num w:numId="17" w16cid:durableId="1739940088">
    <w:abstractNumId w:val="16"/>
  </w:num>
  <w:num w:numId="18" w16cid:durableId="806162550">
    <w:abstractNumId w:val="7"/>
  </w:num>
  <w:num w:numId="19" w16cid:durableId="1106117326">
    <w:abstractNumId w:val="8"/>
  </w:num>
  <w:num w:numId="20" w16cid:durableId="546837383">
    <w:abstractNumId w:val="13"/>
  </w:num>
  <w:num w:numId="21" w16cid:durableId="78673372">
    <w:abstractNumId w:val="19"/>
  </w:num>
  <w:num w:numId="22" w16cid:durableId="1123614806">
    <w:abstractNumId w:val="10"/>
  </w:num>
  <w:num w:numId="23" w16cid:durableId="51616194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24"/>
    <w:rsid w:val="00017521"/>
    <w:rsid w:val="001C7BF7"/>
    <w:rsid w:val="002808F7"/>
    <w:rsid w:val="003166B1"/>
    <w:rsid w:val="003D1406"/>
    <w:rsid w:val="0046376F"/>
    <w:rsid w:val="005537D1"/>
    <w:rsid w:val="00661A24"/>
    <w:rsid w:val="006A292E"/>
    <w:rsid w:val="007760E8"/>
    <w:rsid w:val="008678E6"/>
    <w:rsid w:val="008D7F4F"/>
    <w:rsid w:val="009B1927"/>
    <w:rsid w:val="00AC6EB4"/>
    <w:rsid w:val="00AD6DC1"/>
    <w:rsid w:val="00B02703"/>
    <w:rsid w:val="00BD4D23"/>
    <w:rsid w:val="00CC2897"/>
    <w:rsid w:val="00CE0897"/>
    <w:rsid w:val="00CE5489"/>
    <w:rsid w:val="00D95334"/>
    <w:rsid w:val="00DD6F0C"/>
    <w:rsid w:val="00E10412"/>
    <w:rsid w:val="00E1394B"/>
    <w:rsid w:val="00E3167C"/>
    <w:rsid w:val="00E32851"/>
    <w:rsid w:val="00E61166"/>
    <w:rsid w:val="00F40353"/>
    <w:rsid w:val="00F4606D"/>
    <w:rsid w:val="00F524FF"/>
  </w:rsids>
  <m:mathPr>
    <m:mathFont m:val="Cambria Math"/>
    <m:brkBin m:val="before"/>
    <m:brkBinSub m:val="--"/>
    <m:smallFrac m:val="0"/>
    <m:dispDef/>
    <m:lMargin m:val="0"/>
    <m:rMargin m:val="0"/>
    <m:defJc m:val="centerGroup"/>
    <m:wrapIndent m:val="1440"/>
    <m:intLim m:val="subSup"/>
    <m:naryLim m:val="undOvr"/>
  </m:mathPr>
  <w:themeFontLang w:val="fr-FR"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5E852"/>
  <w15:docId w15:val="{2D9F7D18-95B7-40F5-8D67-0FF527CD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numPr>
        <w:numId w:val="2"/>
      </w:numPr>
      <w:spacing w:before="480" w:after="240" w:line="276" w:lineRule="auto"/>
      <w:outlineLvl w:val="0"/>
    </w:pPr>
    <w:rPr>
      <w:b/>
      <w:smallCaps/>
      <w:color w:val="3CB6EC"/>
      <w:sz w:val="24"/>
      <w:szCs w:val="24"/>
    </w:rPr>
  </w:style>
  <w:style w:type="paragraph" w:styleId="Titre2">
    <w:name w:val="heading 2"/>
    <w:basedOn w:val="Normal"/>
    <w:next w:val="Normal"/>
    <w:pPr>
      <w:keepNext/>
      <w:numPr>
        <w:ilvl w:val="1"/>
        <w:numId w:val="2"/>
      </w:numPr>
      <w:spacing w:before="480" w:after="240" w:line="276" w:lineRule="auto"/>
      <w:outlineLvl w:val="1"/>
    </w:pPr>
    <w:rPr>
      <w:b/>
    </w:rPr>
  </w:style>
  <w:style w:type="paragraph" w:styleId="Titre3">
    <w:name w:val="heading 3"/>
    <w:basedOn w:val="Normal"/>
    <w:next w:val="Normal"/>
    <w:link w:val="Titre3Car"/>
    <w:pPr>
      <w:keepNext/>
      <w:keepLines/>
      <w:numPr>
        <w:ilvl w:val="2"/>
        <w:numId w:val="2"/>
      </w:numPr>
      <w:spacing w:before="40" w:after="0"/>
      <w:outlineLvl w:val="2"/>
    </w:pPr>
    <w:rPr>
      <w:rFonts w:ascii="Cambria" w:eastAsia="Cambria" w:hAnsi="Cambria" w:cs="Cambria"/>
      <w:color w:val="243F61"/>
      <w:sz w:val="24"/>
      <w:szCs w:val="24"/>
    </w:rPr>
  </w:style>
  <w:style w:type="paragraph" w:styleId="Titre4">
    <w:name w:val="heading 4"/>
    <w:basedOn w:val="Normal"/>
    <w:next w:val="Normal"/>
    <w:pPr>
      <w:keepNext/>
      <w:keepLines/>
      <w:numPr>
        <w:ilvl w:val="3"/>
        <w:numId w:val="2"/>
      </w:numPr>
      <w:spacing w:before="240" w:after="40"/>
      <w:outlineLvl w:val="3"/>
    </w:pPr>
    <w:rPr>
      <w:b/>
      <w:sz w:val="24"/>
      <w:szCs w:val="24"/>
    </w:rPr>
  </w:style>
  <w:style w:type="paragraph" w:styleId="Titre5">
    <w:name w:val="heading 5"/>
    <w:basedOn w:val="Normal"/>
    <w:next w:val="Normal"/>
    <w:pPr>
      <w:keepNext/>
      <w:numPr>
        <w:ilvl w:val="4"/>
        <w:numId w:val="2"/>
      </w:numPr>
      <w:outlineLvl w:val="4"/>
    </w:pPr>
    <w:rPr>
      <w:rFonts w:ascii="Garamond" w:eastAsia="Garamond" w:hAnsi="Garamond" w:cs="Garamond"/>
      <w:color w:val="000000"/>
      <w:u w:val="single"/>
    </w:rPr>
  </w:style>
  <w:style w:type="paragraph" w:styleId="Titre6">
    <w:name w:val="heading 6"/>
    <w:basedOn w:val="Normal"/>
    <w:next w:val="Normal"/>
    <w:pPr>
      <w:keepNext/>
      <w:keepLines/>
      <w:numPr>
        <w:ilvl w:val="5"/>
        <w:numId w:val="2"/>
      </w:numPr>
      <w:spacing w:before="200" w:after="40"/>
      <w:outlineLvl w:val="5"/>
    </w:pPr>
    <w:rPr>
      <w:b/>
      <w:sz w:val="20"/>
      <w:szCs w:val="20"/>
    </w:rPr>
  </w:style>
  <w:style w:type="paragraph" w:styleId="Titre7">
    <w:name w:val="heading 7"/>
    <w:basedOn w:val="Normal"/>
    <w:next w:val="Normal"/>
    <w:link w:val="Titre7Car"/>
    <w:uiPriority w:val="9"/>
    <w:unhideWhenUsed/>
    <w:qFormat/>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spacing w:before="240" w:after="120"/>
    </w:pPr>
    <w:rPr>
      <w:rFonts w:ascii="Liberation Sans" w:eastAsia="Liberation Sans" w:hAnsi="Liberation Sans" w:cs="Liberation Sans"/>
      <w:sz w:val="28"/>
      <w:szCs w:val="2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15" w:type="dxa"/>
      </w:tblCellMar>
    </w:tblPr>
  </w:style>
  <w:style w:type="table" w:customStyle="1" w:styleId="a0">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rPr>
      <w:color w:val="000000"/>
    </w:rPr>
    <w:tblPr>
      <w:tblStyleRowBandSize w:val="1"/>
      <w:tblStyleColBandSize w:val="1"/>
      <w:tblCellMar>
        <w:left w:w="57" w:type="dxa"/>
        <w:right w:w="57"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3">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4">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5">
    <w:basedOn w:val="Table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qFormat/>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qFormat/>
    <w:rPr>
      <w:sz w:val="16"/>
      <w:szCs w:val="16"/>
    </w:r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3"/>
    <w:basedOn w:val="Normal"/>
    <w:link w:val="ParagraphedelisteCar"/>
    <w:uiPriority w:val="34"/>
    <w:qFormat/>
    <w:pPr>
      <w:ind w:left="720"/>
      <w:contextualSpacing/>
    </w:pPr>
  </w:style>
  <w:style w:type="paragraph" w:customStyle="1" w:styleId="Default">
    <w:name w:val="Default"/>
    <w:pPr>
      <w:autoSpaceDE w:val="0"/>
      <w:autoSpaceDN w:val="0"/>
      <w:adjustRightInd w:val="0"/>
      <w:spacing w:after="0"/>
      <w:jc w:val="left"/>
    </w:pPr>
    <w:rPr>
      <w:color w:val="000000"/>
      <w:sz w:val="24"/>
      <w:szCs w:val="24"/>
    </w:rPr>
  </w:style>
  <w:style w:type="paragraph" w:styleId="Notedebasdepage">
    <w:name w:val="footnote text"/>
    <w:basedOn w:val="Normal"/>
    <w:link w:val="NotedebasdepageCar"/>
    <w:uiPriority w:val="99"/>
    <w:unhideWhenUsed/>
    <w:qFormat/>
    <w:pPr>
      <w:spacing w:after="0"/>
    </w:pPr>
    <w:rPr>
      <w:sz w:val="20"/>
      <w:szCs w:val="20"/>
    </w:rPr>
  </w:style>
  <w:style w:type="character" w:customStyle="1" w:styleId="NotedebasdepageCar">
    <w:name w:val="Note de bas de page Car"/>
    <w:basedOn w:val="Policepardfaut"/>
    <w:link w:val="Notedebasdepage"/>
    <w:uiPriority w:val="99"/>
    <w:qFormat/>
    <w:rPr>
      <w:sz w:val="20"/>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Pr>
      <w:vertAlign w:val="superscript"/>
    </w:rPr>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style>
  <w:style w:type="paragraph" w:styleId="TM1">
    <w:name w:val="toc 1"/>
    <w:basedOn w:val="Normal"/>
    <w:next w:val="Normal"/>
    <w:autoRedefine/>
    <w:uiPriority w:val="39"/>
    <w:unhideWhenUsed/>
    <w:pPr>
      <w:tabs>
        <w:tab w:val="left" w:pos="440"/>
        <w:tab w:val="right" w:leader="dot" w:pos="9060"/>
      </w:tabs>
      <w:spacing w:after="100"/>
    </w:pPr>
    <w:rPr>
      <w:rFonts w:ascii="Marianne" w:hAnsi="Marianne"/>
      <w:b/>
      <w:noProof/>
    </w:rPr>
  </w:style>
  <w:style w:type="paragraph" w:styleId="TM2">
    <w:name w:val="toc 2"/>
    <w:basedOn w:val="Normal"/>
    <w:next w:val="Normal"/>
    <w:autoRedefine/>
    <w:uiPriority w:val="39"/>
    <w:unhideWhenUsed/>
    <w:pPr>
      <w:tabs>
        <w:tab w:val="left" w:pos="880"/>
        <w:tab w:val="right" w:leader="dot" w:pos="9060"/>
      </w:tabs>
      <w:spacing w:after="100"/>
      <w:ind w:left="220"/>
    </w:pPr>
  </w:style>
  <w:style w:type="paragraph" w:styleId="TM3">
    <w:name w:val="toc 3"/>
    <w:basedOn w:val="Normal"/>
    <w:next w:val="Normal"/>
    <w:autoRedefine/>
    <w:uiPriority w:val="39"/>
    <w:unhideWhenUsed/>
    <w:pPr>
      <w:spacing w:after="100"/>
      <w:ind w:left="440"/>
    </w:pPr>
  </w:style>
  <w:style w:type="character" w:styleId="lev">
    <w:name w:val="Strong"/>
    <w:basedOn w:val="Policepardfaut"/>
    <w:uiPriority w:val="22"/>
    <w:qFormat/>
    <w:rPr>
      <w:b/>
      <w:bCs/>
    </w:rPr>
  </w:style>
  <w:style w:type="character" w:styleId="Lienhypertextesuivivisit">
    <w:name w:val="FollowedHyperlink"/>
    <w:basedOn w:val="Policepardfaut"/>
    <w:uiPriority w:val="99"/>
    <w:semiHidden/>
    <w:unhideWhenUsed/>
    <w:rPr>
      <w:color w:val="800080" w:themeColor="followedHyperlink"/>
      <w:u w:val="single"/>
    </w:rPr>
  </w:style>
  <w:style w:type="paragraph" w:styleId="Rvision">
    <w:name w:val="Revision"/>
    <w:hidden/>
    <w:uiPriority w:val="99"/>
    <w:semiHidden/>
    <w:pPr>
      <w:spacing w:after="0"/>
      <w:jc w:val="left"/>
    </w:pPr>
  </w:style>
  <w:style w:type="table" w:styleId="Grilledutableau">
    <w:name w:val="Table Grid"/>
    <w:basedOn w:val="TableauNormal"/>
    <w:uiPriority w:val="39"/>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1">
    <w:name w:val="Commentaire Car1"/>
    <w:uiPriority w:val="99"/>
    <w:qFormat/>
    <w:rPr>
      <w:rFonts w:ascii="Arial" w:hAnsi="Arial" w:cs="Arial"/>
      <w:lang w:eastAsia="ar-SA"/>
    </w:rPr>
  </w:style>
  <w:style w:type="paragraph" w:customStyle="1" w:styleId="titre10">
    <w:name w:val="_titre 1"/>
    <w:basedOn w:val="Normal"/>
    <w:qFormat/>
    <w:pPr>
      <w:spacing w:after="840"/>
      <w:jc w:val="left"/>
    </w:pPr>
    <w:rPr>
      <w:rFonts w:eastAsiaTheme="minorHAnsi"/>
      <w:b/>
      <w:bCs/>
      <w:color w:val="000000" w:themeColor="text1"/>
      <w:sz w:val="60"/>
      <w:szCs w:val="60"/>
      <w:lang w:eastAsia="en-US"/>
    </w:rPr>
  </w:style>
  <w:style w:type="paragraph" w:customStyle="1" w:styleId="textecourant">
    <w:name w:val="_texte courant"/>
    <w:basedOn w:val="Normal"/>
    <w:qFormat/>
    <w:pPr>
      <w:spacing w:after="120" w:line="290" w:lineRule="exact"/>
      <w:jc w:val="left"/>
    </w:pPr>
    <w:rPr>
      <w:rFonts w:eastAsia="Times New Roman"/>
      <w:noProof/>
    </w:rPr>
  </w:style>
  <w:style w:type="paragraph" w:customStyle="1" w:styleId="inter2">
    <w:name w:val="_inter 2"/>
    <w:basedOn w:val="NormalWeb"/>
    <w:link w:val="inter2Car"/>
    <w:qFormat/>
    <w:pPr>
      <w:spacing w:after="120" w:line="300" w:lineRule="exact"/>
      <w:jc w:val="left"/>
    </w:pPr>
    <w:rPr>
      <w:rFonts w:ascii="Arial" w:eastAsia="Times New Roman" w:hAnsi="Arial" w:cs="Arial"/>
      <w:color w:val="00AC8C"/>
      <w:sz w:val="26"/>
      <w:szCs w:val="26"/>
    </w:rPr>
  </w:style>
  <w:style w:type="paragraph" w:customStyle="1" w:styleId="inter">
    <w:name w:val="_inter"/>
    <w:basedOn w:val="textecourant"/>
    <w:qFormat/>
    <w:pPr>
      <w:spacing w:before="240" w:line="370" w:lineRule="exact"/>
    </w:pPr>
    <w:rPr>
      <w:color w:val="5770BE"/>
      <w:sz w:val="30"/>
      <w:szCs w:val="30"/>
    </w:rPr>
  </w:style>
  <w:style w:type="character" w:customStyle="1" w:styleId="inter2Car">
    <w:name w:val="_inter 2 Car"/>
    <w:basedOn w:val="Policepardfaut"/>
    <w:link w:val="inter2"/>
    <w:rPr>
      <w:rFonts w:eastAsia="Times New Roman"/>
      <w:color w:val="00AC8C"/>
      <w:sz w:val="26"/>
      <w:szCs w:val="26"/>
    </w:rPr>
  </w:style>
  <w:style w:type="character" w:customStyle="1" w:styleId="bold">
    <w:name w:val="bold"/>
    <w:basedOn w:val="Policepardfaut"/>
    <w:uiPriority w:val="99"/>
  </w:style>
  <w:style w:type="paragraph" w:styleId="NormalWeb">
    <w:name w:val="Normal (Web)"/>
    <w:basedOn w:val="Normal"/>
    <w:uiPriority w:val="99"/>
    <w:unhideWhenUsed/>
    <w:rPr>
      <w:rFonts w:ascii="Times New Roman" w:hAnsi="Times New Roman" w:cs="Times New Roman"/>
      <w:sz w:val="24"/>
      <w:szCs w:val="24"/>
    </w:rPr>
  </w:style>
  <w:style w:type="paragraph" w:customStyle="1" w:styleId="Paragraphedeliste1">
    <w:name w:val="Paragraphe de liste1"/>
    <w:basedOn w:val="Normal"/>
    <w:qFormat/>
    <w:pPr>
      <w:ind w:left="708"/>
      <w:jc w:val="left"/>
    </w:pPr>
    <w:rPr>
      <w:rFonts w:eastAsia="Times New Roman"/>
      <w:szCs w:val="20"/>
      <w:lang w:eastAsia="ar-SA"/>
    </w:rPr>
  </w:style>
  <w:style w:type="paragraph" w:styleId="Sansinterligne">
    <w:name w:val="No Spacing"/>
    <w:uiPriority w:val="1"/>
    <w:qFormat/>
    <w:pPr>
      <w:spacing w:after="0"/>
    </w:pPr>
  </w:style>
  <w:style w:type="paragraph" w:customStyle="1" w:styleId="Normal11">
    <w:name w:val="Normal11"/>
    <w:qFormat/>
    <w:pPr>
      <w:suppressAutoHyphens/>
      <w:jc w:val="left"/>
    </w:pPr>
    <w:rPr>
      <w:rFonts w:eastAsia="SimSun"/>
      <w:color w:val="000000"/>
      <w:sz w:val="24"/>
      <w:szCs w:val="24"/>
      <w:lang w:eastAsia="ar-SA" w:bidi="hi-IN"/>
    </w:rPr>
  </w:style>
  <w:style w:type="character" w:customStyle="1" w:styleId="LienInternet">
    <w:name w:val="Lien Internet"/>
    <w:basedOn w:val="Policepardfaut"/>
    <w:uiPriority w:val="99"/>
    <w:unhideWhenUsed/>
    <w:rPr>
      <w:color w:val="0000FF" w:themeColor="hyperlink"/>
      <w:u w:val="single"/>
    </w:rPr>
  </w:style>
  <w:style w:type="paragraph" w:customStyle="1" w:styleId="Puces3">
    <w:name w:val="Puces 3"/>
    <w:basedOn w:val="Normal"/>
    <w:uiPriority w:val="99"/>
    <w:pPr>
      <w:tabs>
        <w:tab w:val="left" w:pos="1701"/>
      </w:tabs>
      <w:suppressAutoHyphens/>
      <w:spacing w:before="60"/>
      <w:textAlignment w:val="baseline"/>
    </w:pPr>
    <w:rPr>
      <w:rFonts w:ascii="Cambria" w:eastAsia="Times New Roman" w:hAnsi="Cambria" w:cs="Times New Roman"/>
      <w:color w:val="00000A"/>
      <w:szCs w:val="20"/>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Mentionnonrsolue2">
    <w:name w:val="Mention non résolue2"/>
    <w:basedOn w:val="Policepardfaut"/>
    <w:uiPriority w:val="99"/>
    <w:semiHidden/>
    <w:unhideWhenUsed/>
    <w:rPr>
      <w:color w:val="605E5C"/>
      <w:shd w:val="clear" w:color="auto" w:fill="E1DFDD"/>
    </w:rPr>
  </w:style>
  <w:style w:type="character" w:customStyle="1" w:styleId="Titre7Car">
    <w:name w:val="Titre 7 Car"/>
    <w:basedOn w:val="Policepardfaut"/>
    <w:link w:val="Titre7"/>
    <w:uiPriority w:val="9"/>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rPr>
  </w:style>
  <w:style w:type="character" w:customStyle="1" w:styleId="Titre3Car">
    <w:name w:val="Titre 3 Car"/>
    <w:basedOn w:val="Policepardfaut"/>
    <w:link w:val="Titre3"/>
    <w:rPr>
      <w:rFonts w:ascii="Cambria" w:eastAsia="Cambria" w:hAnsi="Cambria" w:cs="Cambria"/>
      <w:color w:val="243F61"/>
      <w:sz w:val="24"/>
      <w:szCs w:val="24"/>
    </w:rPr>
  </w:style>
  <w:style w:type="character" w:customStyle="1" w:styleId="Mentionnonrsolue3">
    <w:name w:val="Mention non résolue3"/>
    <w:basedOn w:val="Policepardfaut"/>
    <w:uiPriority w:val="99"/>
    <w:semiHidden/>
    <w:unhideWhenUsed/>
    <w:rPr>
      <w:color w:val="605E5C"/>
      <w:shd w:val="clear" w:color="auto" w:fill="E1DFDD"/>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basedOn w:val="Policepardfaut"/>
    <w:link w:val="Paragraphedeliste"/>
    <w:uiPriority w:val="34"/>
    <w:qFormat/>
  </w:style>
  <w:style w:type="character" w:styleId="Accentuation">
    <w:name w:val="Emphasis"/>
    <w:basedOn w:val="Policepardfaut"/>
    <w:uiPriority w:val="20"/>
    <w:qFormat/>
    <w:rPr>
      <w:i/>
      <w:iCs/>
    </w:rPr>
  </w:style>
  <w:style w:type="table" w:customStyle="1" w:styleId="Grilledutableau1">
    <w:name w:val="Grille du tableau1"/>
    <w:basedOn w:val="TableauNormal"/>
    <w:next w:val="Grilledutableau"/>
    <w:uiPriority w:val="39"/>
    <w:pPr>
      <w:spacing w:after="0"/>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pPr>
      <w:widowControl w:val="0"/>
      <w:autoSpaceDE w:val="0"/>
      <w:autoSpaceDN w:val="0"/>
      <w:spacing w:before="120" w:after="120"/>
    </w:pPr>
    <w:rPr>
      <w:rFonts w:ascii="Marianne" w:eastAsia="Arial MT" w:hAnsi="Marianne" w:cs="Arial MT"/>
      <w:sz w:val="20"/>
      <w:lang w:eastAsia="en-US"/>
    </w:rPr>
  </w:style>
  <w:style w:type="character" w:customStyle="1" w:styleId="CorpsdetexteCar">
    <w:name w:val="Corps de texte Car"/>
    <w:basedOn w:val="Policepardfaut"/>
    <w:link w:val="Corpsdetexte"/>
    <w:uiPriority w:val="1"/>
    <w:rPr>
      <w:rFonts w:ascii="Marianne" w:eastAsia="Arial MT" w:hAnsi="Marianne" w:cs="Arial MT"/>
      <w:sz w:val="20"/>
      <w:lang w:eastAsia="en-US"/>
    </w:rPr>
  </w:style>
  <w:style w:type="character" w:customStyle="1" w:styleId="Mentionnonrsolue4">
    <w:name w:val="Mention non résolue4"/>
    <w:basedOn w:val="Policepardfaut"/>
    <w:uiPriority w:val="99"/>
    <w:semiHidden/>
    <w:unhideWhenUsed/>
    <w:rPr>
      <w:color w:val="605E5C"/>
      <w:shd w:val="clear" w:color="auto" w:fill="E1DFDD"/>
    </w:rPr>
  </w:style>
  <w:style w:type="character" w:customStyle="1" w:styleId="docdata">
    <w:name w:val="docdata"/>
    <w:aliases w:val="docy,v5,10322,bqiaagaaexgcaaagfbwaaam8hwaabzanaaaaaaaaaaaaaaaaaaaaaaaaaaaaaaaaaaaaaaaaaaaaaaaaaaaaaaaaaaaaaaaaaaaaaaaaaaaaaaaaaaaaaaaaaaaaaaaaaaaaaaaaaaaaaaaaaaaaaaaaaaaaaaaaaaaaaaaaaaaaaaaaaaaaaaaaaaaaaaaaaaaaaaaaaaaaaaaaaaaaaaaaaaaaaaaaaaaaaaa"/>
    <w:basedOn w:val="Policepardfaut"/>
  </w:style>
  <w:style w:type="character" w:styleId="Mentionnonrsolue">
    <w:name w:val="Unresolved Mention"/>
    <w:basedOn w:val="Policepardfaut"/>
    <w:uiPriority w:val="99"/>
    <w:semiHidden/>
    <w:unhideWhenUsed/>
    <w:rsid w:val="00CE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6931">
      <w:bodyDiv w:val="1"/>
      <w:marLeft w:val="0"/>
      <w:marRight w:val="0"/>
      <w:marTop w:val="0"/>
      <w:marBottom w:val="0"/>
      <w:divBdr>
        <w:top w:val="none" w:sz="0" w:space="0" w:color="auto"/>
        <w:left w:val="none" w:sz="0" w:space="0" w:color="auto"/>
        <w:bottom w:val="none" w:sz="0" w:space="0" w:color="auto"/>
        <w:right w:val="none" w:sz="0" w:space="0" w:color="auto"/>
      </w:divBdr>
    </w:div>
    <w:div w:id="183709303">
      <w:bodyDiv w:val="1"/>
      <w:marLeft w:val="0"/>
      <w:marRight w:val="0"/>
      <w:marTop w:val="0"/>
      <w:marBottom w:val="0"/>
      <w:divBdr>
        <w:top w:val="none" w:sz="0" w:space="0" w:color="auto"/>
        <w:left w:val="none" w:sz="0" w:space="0" w:color="auto"/>
        <w:bottom w:val="none" w:sz="0" w:space="0" w:color="auto"/>
        <w:right w:val="none" w:sz="0" w:space="0" w:color="auto"/>
      </w:divBdr>
    </w:div>
    <w:div w:id="209343261">
      <w:bodyDiv w:val="1"/>
      <w:marLeft w:val="0"/>
      <w:marRight w:val="0"/>
      <w:marTop w:val="0"/>
      <w:marBottom w:val="0"/>
      <w:divBdr>
        <w:top w:val="none" w:sz="0" w:space="0" w:color="auto"/>
        <w:left w:val="none" w:sz="0" w:space="0" w:color="auto"/>
        <w:bottom w:val="none" w:sz="0" w:space="0" w:color="auto"/>
        <w:right w:val="none" w:sz="0" w:space="0" w:color="auto"/>
      </w:divBdr>
    </w:div>
    <w:div w:id="287316941">
      <w:bodyDiv w:val="1"/>
      <w:marLeft w:val="0"/>
      <w:marRight w:val="0"/>
      <w:marTop w:val="0"/>
      <w:marBottom w:val="0"/>
      <w:divBdr>
        <w:top w:val="none" w:sz="0" w:space="0" w:color="auto"/>
        <w:left w:val="none" w:sz="0" w:space="0" w:color="auto"/>
        <w:bottom w:val="none" w:sz="0" w:space="0" w:color="auto"/>
        <w:right w:val="none" w:sz="0" w:space="0" w:color="auto"/>
      </w:divBdr>
    </w:div>
    <w:div w:id="321079972">
      <w:bodyDiv w:val="1"/>
      <w:marLeft w:val="0"/>
      <w:marRight w:val="0"/>
      <w:marTop w:val="0"/>
      <w:marBottom w:val="0"/>
      <w:divBdr>
        <w:top w:val="none" w:sz="0" w:space="0" w:color="auto"/>
        <w:left w:val="none" w:sz="0" w:space="0" w:color="auto"/>
        <w:bottom w:val="none" w:sz="0" w:space="0" w:color="auto"/>
        <w:right w:val="none" w:sz="0" w:space="0" w:color="auto"/>
      </w:divBdr>
    </w:div>
    <w:div w:id="321934617">
      <w:bodyDiv w:val="1"/>
      <w:marLeft w:val="0"/>
      <w:marRight w:val="0"/>
      <w:marTop w:val="0"/>
      <w:marBottom w:val="0"/>
      <w:divBdr>
        <w:top w:val="none" w:sz="0" w:space="0" w:color="auto"/>
        <w:left w:val="none" w:sz="0" w:space="0" w:color="auto"/>
        <w:bottom w:val="none" w:sz="0" w:space="0" w:color="auto"/>
        <w:right w:val="none" w:sz="0" w:space="0" w:color="auto"/>
      </w:divBdr>
      <w:divsChild>
        <w:div w:id="508376448">
          <w:marLeft w:val="994"/>
          <w:marRight w:val="0"/>
          <w:marTop w:val="0"/>
          <w:marBottom w:val="0"/>
          <w:divBdr>
            <w:top w:val="none" w:sz="0" w:space="0" w:color="auto"/>
            <w:left w:val="none" w:sz="0" w:space="0" w:color="auto"/>
            <w:bottom w:val="none" w:sz="0" w:space="0" w:color="auto"/>
            <w:right w:val="none" w:sz="0" w:space="0" w:color="auto"/>
          </w:divBdr>
        </w:div>
      </w:divsChild>
    </w:div>
    <w:div w:id="366762549">
      <w:bodyDiv w:val="1"/>
      <w:marLeft w:val="0"/>
      <w:marRight w:val="0"/>
      <w:marTop w:val="0"/>
      <w:marBottom w:val="0"/>
      <w:divBdr>
        <w:top w:val="none" w:sz="0" w:space="0" w:color="auto"/>
        <w:left w:val="none" w:sz="0" w:space="0" w:color="auto"/>
        <w:bottom w:val="none" w:sz="0" w:space="0" w:color="auto"/>
        <w:right w:val="none" w:sz="0" w:space="0" w:color="auto"/>
      </w:divBdr>
    </w:div>
    <w:div w:id="386030452">
      <w:bodyDiv w:val="1"/>
      <w:marLeft w:val="0"/>
      <w:marRight w:val="0"/>
      <w:marTop w:val="0"/>
      <w:marBottom w:val="0"/>
      <w:divBdr>
        <w:top w:val="none" w:sz="0" w:space="0" w:color="auto"/>
        <w:left w:val="none" w:sz="0" w:space="0" w:color="auto"/>
        <w:bottom w:val="none" w:sz="0" w:space="0" w:color="auto"/>
        <w:right w:val="none" w:sz="0" w:space="0" w:color="auto"/>
      </w:divBdr>
    </w:div>
    <w:div w:id="415442845">
      <w:bodyDiv w:val="1"/>
      <w:marLeft w:val="0"/>
      <w:marRight w:val="0"/>
      <w:marTop w:val="0"/>
      <w:marBottom w:val="0"/>
      <w:divBdr>
        <w:top w:val="none" w:sz="0" w:space="0" w:color="auto"/>
        <w:left w:val="none" w:sz="0" w:space="0" w:color="auto"/>
        <w:bottom w:val="none" w:sz="0" w:space="0" w:color="auto"/>
        <w:right w:val="none" w:sz="0" w:space="0" w:color="auto"/>
      </w:divBdr>
    </w:div>
    <w:div w:id="431828908">
      <w:bodyDiv w:val="1"/>
      <w:marLeft w:val="0"/>
      <w:marRight w:val="0"/>
      <w:marTop w:val="0"/>
      <w:marBottom w:val="0"/>
      <w:divBdr>
        <w:top w:val="none" w:sz="0" w:space="0" w:color="auto"/>
        <w:left w:val="none" w:sz="0" w:space="0" w:color="auto"/>
        <w:bottom w:val="none" w:sz="0" w:space="0" w:color="auto"/>
        <w:right w:val="none" w:sz="0" w:space="0" w:color="auto"/>
      </w:divBdr>
    </w:div>
    <w:div w:id="492793522">
      <w:bodyDiv w:val="1"/>
      <w:marLeft w:val="0"/>
      <w:marRight w:val="0"/>
      <w:marTop w:val="0"/>
      <w:marBottom w:val="0"/>
      <w:divBdr>
        <w:top w:val="none" w:sz="0" w:space="0" w:color="auto"/>
        <w:left w:val="none" w:sz="0" w:space="0" w:color="auto"/>
        <w:bottom w:val="none" w:sz="0" w:space="0" w:color="auto"/>
        <w:right w:val="none" w:sz="0" w:space="0" w:color="auto"/>
      </w:divBdr>
    </w:div>
    <w:div w:id="500438109">
      <w:bodyDiv w:val="1"/>
      <w:marLeft w:val="0"/>
      <w:marRight w:val="0"/>
      <w:marTop w:val="0"/>
      <w:marBottom w:val="0"/>
      <w:divBdr>
        <w:top w:val="none" w:sz="0" w:space="0" w:color="auto"/>
        <w:left w:val="none" w:sz="0" w:space="0" w:color="auto"/>
        <w:bottom w:val="none" w:sz="0" w:space="0" w:color="auto"/>
        <w:right w:val="none" w:sz="0" w:space="0" w:color="auto"/>
      </w:divBdr>
    </w:div>
    <w:div w:id="519051792">
      <w:bodyDiv w:val="1"/>
      <w:marLeft w:val="0"/>
      <w:marRight w:val="0"/>
      <w:marTop w:val="0"/>
      <w:marBottom w:val="0"/>
      <w:divBdr>
        <w:top w:val="none" w:sz="0" w:space="0" w:color="auto"/>
        <w:left w:val="none" w:sz="0" w:space="0" w:color="auto"/>
        <w:bottom w:val="none" w:sz="0" w:space="0" w:color="auto"/>
        <w:right w:val="none" w:sz="0" w:space="0" w:color="auto"/>
      </w:divBdr>
    </w:div>
    <w:div w:id="556815282">
      <w:bodyDiv w:val="1"/>
      <w:marLeft w:val="0"/>
      <w:marRight w:val="0"/>
      <w:marTop w:val="0"/>
      <w:marBottom w:val="0"/>
      <w:divBdr>
        <w:top w:val="none" w:sz="0" w:space="0" w:color="auto"/>
        <w:left w:val="none" w:sz="0" w:space="0" w:color="auto"/>
        <w:bottom w:val="none" w:sz="0" w:space="0" w:color="auto"/>
        <w:right w:val="none" w:sz="0" w:space="0" w:color="auto"/>
      </w:divBdr>
    </w:div>
    <w:div w:id="562374768">
      <w:bodyDiv w:val="1"/>
      <w:marLeft w:val="0"/>
      <w:marRight w:val="0"/>
      <w:marTop w:val="0"/>
      <w:marBottom w:val="0"/>
      <w:divBdr>
        <w:top w:val="none" w:sz="0" w:space="0" w:color="auto"/>
        <w:left w:val="none" w:sz="0" w:space="0" w:color="auto"/>
        <w:bottom w:val="none" w:sz="0" w:space="0" w:color="auto"/>
        <w:right w:val="none" w:sz="0" w:space="0" w:color="auto"/>
      </w:divBdr>
    </w:div>
    <w:div w:id="571551383">
      <w:bodyDiv w:val="1"/>
      <w:marLeft w:val="0"/>
      <w:marRight w:val="0"/>
      <w:marTop w:val="0"/>
      <w:marBottom w:val="0"/>
      <w:divBdr>
        <w:top w:val="none" w:sz="0" w:space="0" w:color="auto"/>
        <w:left w:val="none" w:sz="0" w:space="0" w:color="auto"/>
        <w:bottom w:val="none" w:sz="0" w:space="0" w:color="auto"/>
        <w:right w:val="none" w:sz="0" w:space="0" w:color="auto"/>
      </w:divBdr>
    </w:div>
    <w:div w:id="638926303">
      <w:bodyDiv w:val="1"/>
      <w:marLeft w:val="0"/>
      <w:marRight w:val="0"/>
      <w:marTop w:val="0"/>
      <w:marBottom w:val="0"/>
      <w:divBdr>
        <w:top w:val="none" w:sz="0" w:space="0" w:color="auto"/>
        <w:left w:val="none" w:sz="0" w:space="0" w:color="auto"/>
        <w:bottom w:val="none" w:sz="0" w:space="0" w:color="auto"/>
        <w:right w:val="none" w:sz="0" w:space="0" w:color="auto"/>
      </w:divBdr>
    </w:div>
    <w:div w:id="639573086">
      <w:bodyDiv w:val="1"/>
      <w:marLeft w:val="0"/>
      <w:marRight w:val="0"/>
      <w:marTop w:val="0"/>
      <w:marBottom w:val="0"/>
      <w:divBdr>
        <w:top w:val="none" w:sz="0" w:space="0" w:color="auto"/>
        <w:left w:val="none" w:sz="0" w:space="0" w:color="auto"/>
        <w:bottom w:val="none" w:sz="0" w:space="0" w:color="auto"/>
        <w:right w:val="none" w:sz="0" w:space="0" w:color="auto"/>
      </w:divBdr>
    </w:div>
    <w:div w:id="643044951">
      <w:bodyDiv w:val="1"/>
      <w:marLeft w:val="0"/>
      <w:marRight w:val="0"/>
      <w:marTop w:val="0"/>
      <w:marBottom w:val="0"/>
      <w:divBdr>
        <w:top w:val="none" w:sz="0" w:space="0" w:color="auto"/>
        <w:left w:val="none" w:sz="0" w:space="0" w:color="auto"/>
        <w:bottom w:val="none" w:sz="0" w:space="0" w:color="auto"/>
        <w:right w:val="none" w:sz="0" w:space="0" w:color="auto"/>
      </w:divBdr>
    </w:div>
    <w:div w:id="791707346">
      <w:bodyDiv w:val="1"/>
      <w:marLeft w:val="0"/>
      <w:marRight w:val="0"/>
      <w:marTop w:val="0"/>
      <w:marBottom w:val="0"/>
      <w:divBdr>
        <w:top w:val="none" w:sz="0" w:space="0" w:color="auto"/>
        <w:left w:val="none" w:sz="0" w:space="0" w:color="auto"/>
        <w:bottom w:val="none" w:sz="0" w:space="0" w:color="auto"/>
        <w:right w:val="none" w:sz="0" w:space="0" w:color="auto"/>
      </w:divBdr>
    </w:div>
    <w:div w:id="874268433">
      <w:bodyDiv w:val="1"/>
      <w:marLeft w:val="0"/>
      <w:marRight w:val="0"/>
      <w:marTop w:val="0"/>
      <w:marBottom w:val="0"/>
      <w:divBdr>
        <w:top w:val="none" w:sz="0" w:space="0" w:color="auto"/>
        <w:left w:val="none" w:sz="0" w:space="0" w:color="auto"/>
        <w:bottom w:val="none" w:sz="0" w:space="0" w:color="auto"/>
        <w:right w:val="none" w:sz="0" w:space="0" w:color="auto"/>
      </w:divBdr>
    </w:div>
    <w:div w:id="930745593">
      <w:bodyDiv w:val="1"/>
      <w:marLeft w:val="0"/>
      <w:marRight w:val="0"/>
      <w:marTop w:val="0"/>
      <w:marBottom w:val="0"/>
      <w:divBdr>
        <w:top w:val="none" w:sz="0" w:space="0" w:color="auto"/>
        <w:left w:val="none" w:sz="0" w:space="0" w:color="auto"/>
        <w:bottom w:val="none" w:sz="0" w:space="0" w:color="auto"/>
        <w:right w:val="none" w:sz="0" w:space="0" w:color="auto"/>
      </w:divBdr>
      <w:divsChild>
        <w:div w:id="784737914">
          <w:marLeft w:val="994"/>
          <w:marRight w:val="0"/>
          <w:marTop w:val="0"/>
          <w:marBottom w:val="0"/>
          <w:divBdr>
            <w:top w:val="none" w:sz="0" w:space="0" w:color="auto"/>
            <w:left w:val="none" w:sz="0" w:space="0" w:color="auto"/>
            <w:bottom w:val="none" w:sz="0" w:space="0" w:color="auto"/>
            <w:right w:val="none" w:sz="0" w:space="0" w:color="auto"/>
          </w:divBdr>
        </w:div>
      </w:divsChild>
    </w:div>
    <w:div w:id="1016922310">
      <w:bodyDiv w:val="1"/>
      <w:marLeft w:val="0"/>
      <w:marRight w:val="0"/>
      <w:marTop w:val="0"/>
      <w:marBottom w:val="0"/>
      <w:divBdr>
        <w:top w:val="none" w:sz="0" w:space="0" w:color="auto"/>
        <w:left w:val="none" w:sz="0" w:space="0" w:color="auto"/>
        <w:bottom w:val="none" w:sz="0" w:space="0" w:color="auto"/>
        <w:right w:val="none" w:sz="0" w:space="0" w:color="auto"/>
      </w:divBdr>
    </w:div>
    <w:div w:id="1065909043">
      <w:bodyDiv w:val="1"/>
      <w:marLeft w:val="0"/>
      <w:marRight w:val="0"/>
      <w:marTop w:val="0"/>
      <w:marBottom w:val="0"/>
      <w:divBdr>
        <w:top w:val="none" w:sz="0" w:space="0" w:color="auto"/>
        <w:left w:val="none" w:sz="0" w:space="0" w:color="auto"/>
        <w:bottom w:val="none" w:sz="0" w:space="0" w:color="auto"/>
        <w:right w:val="none" w:sz="0" w:space="0" w:color="auto"/>
      </w:divBdr>
      <w:divsChild>
        <w:div w:id="1669016934">
          <w:marLeft w:val="446"/>
          <w:marRight w:val="0"/>
          <w:marTop w:val="0"/>
          <w:marBottom w:val="240"/>
          <w:divBdr>
            <w:top w:val="none" w:sz="0" w:space="0" w:color="auto"/>
            <w:left w:val="none" w:sz="0" w:space="0" w:color="auto"/>
            <w:bottom w:val="none" w:sz="0" w:space="0" w:color="auto"/>
            <w:right w:val="none" w:sz="0" w:space="0" w:color="auto"/>
          </w:divBdr>
        </w:div>
      </w:divsChild>
    </w:div>
    <w:div w:id="1102720142">
      <w:bodyDiv w:val="1"/>
      <w:marLeft w:val="0"/>
      <w:marRight w:val="0"/>
      <w:marTop w:val="0"/>
      <w:marBottom w:val="0"/>
      <w:divBdr>
        <w:top w:val="none" w:sz="0" w:space="0" w:color="auto"/>
        <w:left w:val="none" w:sz="0" w:space="0" w:color="auto"/>
        <w:bottom w:val="none" w:sz="0" w:space="0" w:color="auto"/>
        <w:right w:val="none" w:sz="0" w:space="0" w:color="auto"/>
      </w:divBdr>
    </w:div>
    <w:div w:id="1106850050">
      <w:bodyDiv w:val="1"/>
      <w:marLeft w:val="0"/>
      <w:marRight w:val="0"/>
      <w:marTop w:val="0"/>
      <w:marBottom w:val="0"/>
      <w:divBdr>
        <w:top w:val="none" w:sz="0" w:space="0" w:color="auto"/>
        <w:left w:val="none" w:sz="0" w:space="0" w:color="auto"/>
        <w:bottom w:val="none" w:sz="0" w:space="0" w:color="auto"/>
        <w:right w:val="none" w:sz="0" w:space="0" w:color="auto"/>
      </w:divBdr>
    </w:div>
    <w:div w:id="1131748330">
      <w:bodyDiv w:val="1"/>
      <w:marLeft w:val="0"/>
      <w:marRight w:val="0"/>
      <w:marTop w:val="0"/>
      <w:marBottom w:val="0"/>
      <w:divBdr>
        <w:top w:val="none" w:sz="0" w:space="0" w:color="auto"/>
        <w:left w:val="none" w:sz="0" w:space="0" w:color="auto"/>
        <w:bottom w:val="none" w:sz="0" w:space="0" w:color="auto"/>
        <w:right w:val="none" w:sz="0" w:space="0" w:color="auto"/>
      </w:divBdr>
    </w:div>
    <w:div w:id="1138567185">
      <w:bodyDiv w:val="1"/>
      <w:marLeft w:val="0"/>
      <w:marRight w:val="0"/>
      <w:marTop w:val="0"/>
      <w:marBottom w:val="0"/>
      <w:divBdr>
        <w:top w:val="none" w:sz="0" w:space="0" w:color="auto"/>
        <w:left w:val="none" w:sz="0" w:space="0" w:color="auto"/>
        <w:bottom w:val="none" w:sz="0" w:space="0" w:color="auto"/>
        <w:right w:val="none" w:sz="0" w:space="0" w:color="auto"/>
      </w:divBdr>
    </w:div>
    <w:div w:id="1198203230">
      <w:bodyDiv w:val="1"/>
      <w:marLeft w:val="0"/>
      <w:marRight w:val="0"/>
      <w:marTop w:val="0"/>
      <w:marBottom w:val="0"/>
      <w:divBdr>
        <w:top w:val="none" w:sz="0" w:space="0" w:color="auto"/>
        <w:left w:val="none" w:sz="0" w:space="0" w:color="auto"/>
        <w:bottom w:val="none" w:sz="0" w:space="0" w:color="auto"/>
        <w:right w:val="none" w:sz="0" w:space="0" w:color="auto"/>
      </w:divBdr>
    </w:div>
    <w:div w:id="1206455040">
      <w:bodyDiv w:val="1"/>
      <w:marLeft w:val="0"/>
      <w:marRight w:val="0"/>
      <w:marTop w:val="0"/>
      <w:marBottom w:val="0"/>
      <w:divBdr>
        <w:top w:val="none" w:sz="0" w:space="0" w:color="auto"/>
        <w:left w:val="none" w:sz="0" w:space="0" w:color="auto"/>
        <w:bottom w:val="none" w:sz="0" w:space="0" w:color="auto"/>
        <w:right w:val="none" w:sz="0" w:space="0" w:color="auto"/>
      </w:divBdr>
    </w:div>
    <w:div w:id="1374580952">
      <w:bodyDiv w:val="1"/>
      <w:marLeft w:val="0"/>
      <w:marRight w:val="0"/>
      <w:marTop w:val="0"/>
      <w:marBottom w:val="0"/>
      <w:divBdr>
        <w:top w:val="none" w:sz="0" w:space="0" w:color="auto"/>
        <w:left w:val="none" w:sz="0" w:space="0" w:color="auto"/>
        <w:bottom w:val="none" w:sz="0" w:space="0" w:color="auto"/>
        <w:right w:val="none" w:sz="0" w:space="0" w:color="auto"/>
      </w:divBdr>
      <w:divsChild>
        <w:div w:id="1579289786">
          <w:marLeft w:val="446"/>
          <w:marRight w:val="0"/>
          <w:marTop w:val="0"/>
          <w:marBottom w:val="0"/>
          <w:divBdr>
            <w:top w:val="none" w:sz="0" w:space="0" w:color="auto"/>
            <w:left w:val="none" w:sz="0" w:space="0" w:color="auto"/>
            <w:bottom w:val="none" w:sz="0" w:space="0" w:color="auto"/>
            <w:right w:val="none" w:sz="0" w:space="0" w:color="auto"/>
          </w:divBdr>
        </w:div>
        <w:div w:id="967707391">
          <w:marLeft w:val="446"/>
          <w:marRight w:val="0"/>
          <w:marTop w:val="0"/>
          <w:marBottom w:val="0"/>
          <w:divBdr>
            <w:top w:val="none" w:sz="0" w:space="0" w:color="auto"/>
            <w:left w:val="none" w:sz="0" w:space="0" w:color="auto"/>
            <w:bottom w:val="none" w:sz="0" w:space="0" w:color="auto"/>
            <w:right w:val="none" w:sz="0" w:space="0" w:color="auto"/>
          </w:divBdr>
        </w:div>
        <w:div w:id="811556288">
          <w:marLeft w:val="446"/>
          <w:marRight w:val="0"/>
          <w:marTop w:val="0"/>
          <w:marBottom w:val="0"/>
          <w:divBdr>
            <w:top w:val="none" w:sz="0" w:space="0" w:color="auto"/>
            <w:left w:val="none" w:sz="0" w:space="0" w:color="auto"/>
            <w:bottom w:val="none" w:sz="0" w:space="0" w:color="auto"/>
            <w:right w:val="none" w:sz="0" w:space="0" w:color="auto"/>
          </w:divBdr>
        </w:div>
        <w:div w:id="126319819">
          <w:marLeft w:val="446"/>
          <w:marRight w:val="0"/>
          <w:marTop w:val="0"/>
          <w:marBottom w:val="0"/>
          <w:divBdr>
            <w:top w:val="none" w:sz="0" w:space="0" w:color="auto"/>
            <w:left w:val="none" w:sz="0" w:space="0" w:color="auto"/>
            <w:bottom w:val="none" w:sz="0" w:space="0" w:color="auto"/>
            <w:right w:val="none" w:sz="0" w:space="0" w:color="auto"/>
          </w:divBdr>
        </w:div>
        <w:div w:id="947857650">
          <w:marLeft w:val="446"/>
          <w:marRight w:val="0"/>
          <w:marTop w:val="0"/>
          <w:marBottom w:val="0"/>
          <w:divBdr>
            <w:top w:val="none" w:sz="0" w:space="0" w:color="auto"/>
            <w:left w:val="none" w:sz="0" w:space="0" w:color="auto"/>
            <w:bottom w:val="none" w:sz="0" w:space="0" w:color="auto"/>
            <w:right w:val="none" w:sz="0" w:space="0" w:color="auto"/>
          </w:divBdr>
        </w:div>
      </w:divsChild>
    </w:div>
    <w:div w:id="1461218049">
      <w:bodyDiv w:val="1"/>
      <w:marLeft w:val="0"/>
      <w:marRight w:val="0"/>
      <w:marTop w:val="0"/>
      <w:marBottom w:val="0"/>
      <w:divBdr>
        <w:top w:val="none" w:sz="0" w:space="0" w:color="auto"/>
        <w:left w:val="none" w:sz="0" w:space="0" w:color="auto"/>
        <w:bottom w:val="none" w:sz="0" w:space="0" w:color="auto"/>
        <w:right w:val="none" w:sz="0" w:space="0" w:color="auto"/>
      </w:divBdr>
    </w:div>
    <w:div w:id="1472407724">
      <w:bodyDiv w:val="1"/>
      <w:marLeft w:val="0"/>
      <w:marRight w:val="0"/>
      <w:marTop w:val="0"/>
      <w:marBottom w:val="0"/>
      <w:divBdr>
        <w:top w:val="none" w:sz="0" w:space="0" w:color="auto"/>
        <w:left w:val="none" w:sz="0" w:space="0" w:color="auto"/>
        <w:bottom w:val="none" w:sz="0" w:space="0" w:color="auto"/>
        <w:right w:val="none" w:sz="0" w:space="0" w:color="auto"/>
      </w:divBdr>
    </w:div>
    <w:div w:id="1529417491">
      <w:bodyDiv w:val="1"/>
      <w:marLeft w:val="0"/>
      <w:marRight w:val="0"/>
      <w:marTop w:val="0"/>
      <w:marBottom w:val="0"/>
      <w:divBdr>
        <w:top w:val="none" w:sz="0" w:space="0" w:color="auto"/>
        <w:left w:val="none" w:sz="0" w:space="0" w:color="auto"/>
        <w:bottom w:val="none" w:sz="0" w:space="0" w:color="auto"/>
        <w:right w:val="none" w:sz="0" w:space="0" w:color="auto"/>
      </w:divBdr>
    </w:div>
    <w:div w:id="1578051286">
      <w:bodyDiv w:val="1"/>
      <w:marLeft w:val="0"/>
      <w:marRight w:val="0"/>
      <w:marTop w:val="0"/>
      <w:marBottom w:val="0"/>
      <w:divBdr>
        <w:top w:val="none" w:sz="0" w:space="0" w:color="auto"/>
        <w:left w:val="none" w:sz="0" w:space="0" w:color="auto"/>
        <w:bottom w:val="none" w:sz="0" w:space="0" w:color="auto"/>
        <w:right w:val="none" w:sz="0" w:space="0" w:color="auto"/>
      </w:divBdr>
    </w:div>
    <w:div w:id="1614631678">
      <w:bodyDiv w:val="1"/>
      <w:marLeft w:val="0"/>
      <w:marRight w:val="0"/>
      <w:marTop w:val="0"/>
      <w:marBottom w:val="0"/>
      <w:divBdr>
        <w:top w:val="none" w:sz="0" w:space="0" w:color="auto"/>
        <w:left w:val="none" w:sz="0" w:space="0" w:color="auto"/>
        <w:bottom w:val="none" w:sz="0" w:space="0" w:color="auto"/>
        <w:right w:val="none" w:sz="0" w:space="0" w:color="auto"/>
      </w:divBdr>
    </w:div>
    <w:div w:id="1651055613">
      <w:bodyDiv w:val="1"/>
      <w:marLeft w:val="0"/>
      <w:marRight w:val="0"/>
      <w:marTop w:val="0"/>
      <w:marBottom w:val="0"/>
      <w:divBdr>
        <w:top w:val="none" w:sz="0" w:space="0" w:color="auto"/>
        <w:left w:val="none" w:sz="0" w:space="0" w:color="auto"/>
        <w:bottom w:val="none" w:sz="0" w:space="0" w:color="auto"/>
        <w:right w:val="none" w:sz="0" w:space="0" w:color="auto"/>
      </w:divBdr>
    </w:div>
    <w:div w:id="1670130588">
      <w:bodyDiv w:val="1"/>
      <w:marLeft w:val="0"/>
      <w:marRight w:val="0"/>
      <w:marTop w:val="0"/>
      <w:marBottom w:val="0"/>
      <w:divBdr>
        <w:top w:val="none" w:sz="0" w:space="0" w:color="auto"/>
        <w:left w:val="none" w:sz="0" w:space="0" w:color="auto"/>
        <w:bottom w:val="none" w:sz="0" w:space="0" w:color="auto"/>
        <w:right w:val="none" w:sz="0" w:space="0" w:color="auto"/>
      </w:divBdr>
      <w:divsChild>
        <w:div w:id="275217276">
          <w:marLeft w:val="994"/>
          <w:marRight w:val="0"/>
          <w:marTop w:val="0"/>
          <w:marBottom w:val="0"/>
          <w:divBdr>
            <w:top w:val="none" w:sz="0" w:space="0" w:color="auto"/>
            <w:left w:val="none" w:sz="0" w:space="0" w:color="auto"/>
            <w:bottom w:val="none" w:sz="0" w:space="0" w:color="auto"/>
            <w:right w:val="none" w:sz="0" w:space="0" w:color="auto"/>
          </w:divBdr>
        </w:div>
      </w:divsChild>
    </w:div>
    <w:div w:id="1690716588">
      <w:bodyDiv w:val="1"/>
      <w:marLeft w:val="0"/>
      <w:marRight w:val="0"/>
      <w:marTop w:val="0"/>
      <w:marBottom w:val="0"/>
      <w:divBdr>
        <w:top w:val="none" w:sz="0" w:space="0" w:color="auto"/>
        <w:left w:val="none" w:sz="0" w:space="0" w:color="auto"/>
        <w:bottom w:val="none" w:sz="0" w:space="0" w:color="auto"/>
        <w:right w:val="none" w:sz="0" w:space="0" w:color="auto"/>
      </w:divBdr>
    </w:div>
    <w:div w:id="1700163511">
      <w:bodyDiv w:val="1"/>
      <w:marLeft w:val="0"/>
      <w:marRight w:val="0"/>
      <w:marTop w:val="0"/>
      <w:marBottom w:val="0"/>
      <w:divBdr>
        <w:top w:val="none" w:sz="0" w:space="0" w:color="auto"/>
        <w:left w:val="none" w:sz="0" w:space="0" w:color="auto"/>
        <w:bottom w:val="none" w:sz="0" w:space="0" w:color="auto"/>
        <w:right w:val="none" w:sz="0" w:space="0" w:color="auto"/>
      </w:divBdr>
    </w:div>
    <w:div w:id="1703359016">
      <w:bodyDiv w:val="1"/>
      <w:marLeft w:val="0"/>
      <w:marRight w:val="0"/>
      <w:marTop w:val="0"/>
      <w:marBottom w:val="0"/>
      <w:divBdr>
        <w:top w:val="none" w:sz="0" w:space="0" w:color="auto"/>
        <w:left w:val="none" w:sz="0" w:space="0" w:color="auto"/>
        <w:bottom w:val="none" w:sz="0" w:space="0" w:color="auto"/>
        <w:right w:val="none" w:sz="0" w:space="0" w:color="auto"/>
      </w:divBdr>
    </w:div>
    <w:div w:id="1723626534">
      <w:bodyDiv w:val="1"/>
      <w:marLeft w:val="0"/>
      <w:marRight w:val="0"/>
      <w:marTop w:val="0"/>
      <w:marBottom w:val="0"/>
      <w:divBdr>
        <w:top w:val="none" w:sz="0" w:space="0" w:color="auto"/>
        <w:left w:val="none" w:sz="0" w:space="0" w:color="auto"/>
        <w:bottom w:val="none" w:sz="0" w:space="0" w:color="auto"/>
        <w:right w:val="none" w:sz="0" w:space="0" w:color="auto"/>
      </w:divBdr>
    </w:div>
    <w:div w:id="1745368617">
      <w:bodyDiv w:val="1"/>
      <w:marLeft w:val="0"/>
      <w:marRight w:val="0"/>
      <w:marTop w:val="0"/>
      <w:marBottom w:val="0"/>
      <w:divBdr>
        <w:top w:val="none" w:sz="0" w:space="0" w:color="auto"/>
        <w:left w:val="none" w:sz="0" w:space="0" w:color="auto"/>
        <w:bottom w:val="none" w:sz="0" w:space="0" w:color="auto"/>
        <w:right w:val="none" w:sz="0" w:space="0" w:color="auto"/>
      </w:divBdr>
    </w:div>
    <w:div w:id="1763601696">
      <w:bodyDiv w:val="1"/>
      <w:marLeft w:val="0"/>
      <w:marRight w:val="0"/>
      <w:marTop w:val="0"/>
      <w:marBottom w:val="0"/>
      <w:divBdr>
        <w:top w:val="none" w:sz="0" w:space="0" w:color="auto"/>
        <w:left w:val="none" w:sz="0" w:space="0" w:color="auto"/>
        <w:bottom w:val="none" w:sz="0" w:space="0" w:color="auto"/>
        <w:right w:val="none" w:sz="0" w:space="0" w:color="auto"/>
      </w:divBdr>
    </w:div>
    <w:div w:id="1802728556">
      <w:bodyDiv w:val="1"/>
      <w:marLeft w:val="0"/>
      <w:marRight w:val="0"/>
      <w:marTop w:val="0"/>
      <w:marBottom w:val="0"/>
      <w:divBdr>
        <w:top w:val="none" w:sz="0" w:space="0" w:color="auto"/>
        <w:left w:val="none" w:sz="0" w:space="0" w:color="auto"/>
        <w:bottom w:val="none" w:sz="0" w:space="0" w:color="auto"/>
        <w:right w:val="none" w:sz="0" w:space="0" w:color="auto"/>
      </w:divBdr>
    </w:div>
    <w:div w:id="1815220245">
      <w:bodyDiv w:val="1"/>
      <w:marLeft w:val="0"/>
      <w:marRight w:val="0"/>
      <w:marTop w:val="0"/>
      <w:marBottom w:val="0"/>
      <w:divBdr>
        <w:top w:val="none" w:sz="0" w:space="0" w:color="auto"/>
        <w:left w:val="none" w:sz="0" w:space="0" w:color="auto"/>
        <w:bottom w:val="none" w:sz="0" w:space="0" w:color="auto"/>
        <w:right w:val="none" w:sz="0" w:space="0" w:color="auto"/>
      </w:divBdr>
    </w:div>
    <w:div w:id="1859394766">
      <w:bodyDiv w:val="1"/>
      <w:marLeft w:val="0"/>
      <w:marRight w:val="0"/>
      <w:marTop w:val="0"/>
      <w:marBottom w:val="0"/>
      <w:divBdr>
        <w:top w:val="none" w:sz="0" w:space="0" w:color="auto"/>
        <w:left w:val="none" w:sz="0" w:space="0" w:color="auto"/>
        <w:bottom w:val="none" w:sz="0" w:space="0" w:color="auto"/>
        <w:right w:val="none" w:sz="0" w:space="0" w:color="auto"/>
      </w:divBdr>
    </w:div>
    <w:div w:id="1863398987">
      <w:bodyDiv w:val="1"/>
      <w:marLeft w:val="0"/>
      <w:marRight w:val="0"/>
      <w:marTop w:val="0"/>
      <w:marBottom w:val="0"/>
      <w:divBdr>
        <w:top w:val="none" w:sz="0" w:space="0" w:color="auto"/>
        <w:left w:val="none" w:sz="0" w:space="0" w:color="auto"/>
        <w:bottom w:val="none" w:sz="0" w:space="0" w:color="auto"/>
        <w:right w:val="none" w:sz="0" w:space="0" w:color="auto"/>
      </w:divBdr>
    </w:div>
    <w:div w:id="1958220609">
      <w:bodyDiv w:val="1"/>
      <w:marLeft w:val="0"/>
      <w:marRight w:val="0"/>
      <w:marTop w:val="0"/>
      <w:marBottom w:val="0"/>
      <w:divBdr>
        <w:top w:val="none" w:sz="0" w:space="0" w:color="auto"/>
        <w:left w:val="none" w:sz="0" w:space="0" w:color="auto"/>
        <w:bottom w:val="none" w:sz="0" w:space="0" w:color="auto"/>
        <w:right w:val="none" w:sz="0" w:space="0" w:color="auto"/>
      </w:divBdr>
    </w:div>
    <w:div w:id="2008245538">
      <w:bodyDiv w:val="1"/>
      <w:marLeft w:val="0"/>
      <w:marRight w:val="0"/>
      <w:marTop w:val="0"/>
      <w:marBottom w:val="0"/>
      <w:divBdr>
        <w:top w:val="none" w:sz="0" w:space="0" w:color="auto"/>
        <w:left w:val="none" w:sz="0" w:space="0" w:color="auto"/>
        <w:bottom w:val="none" w:sz="0" w:space="0" w:color="auto"/>
        <w:right w:val="none" w:sz="0" w:space="0" w:color="auto"/>
      </w:divBdr>
    </w:div>
    <w:div w:id="2037928430">
      <w:bodyDiv w:val="1"/>
      <w:marLeft w:val="0"/>
      <w:marRight w:val="0"/>
      <w:marTop w:val="0"/>
      <w:marBottom w:val="0"/>
      <w:divBdr>
        <w:top w:val="none" w:sz="0" w:space="0" w:color="auto"/>
        <w:left w:val="none" w:sz="0" w:space="0" w:color="auto"/>
        <w:bottom w:val="none" w:sz="0" w:space="0" w:color="auto"/>
        <w:right w:val="none" w:sz="0" w:space="0" w:color="auto"/>
      </w:divBdr>
    </w:div>
    <w:div w:id="2122339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agirpourlatransition.ademe.f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ap.innov-eau@ademe.fr" TargetMode="External"/><Relationship Id="rId14" Type="http://schemas.openxmlformats.org/officeDocument/2006/relationships/hyperlink" Target="mailto:XXXXXXXXX@ademe.fr" TargetMode="External"/><Relationship Id="rId22" Type="http://schemas.openxmlformats.org/officeDocument/2006/relationships/hyperlink" Target="https://www.europe-en-france.gouv.fr/fr/aides-d-etat" TargetMode="External"/><Relationship Id="rId27" Type="http://schemas.openxmlformats.org/officeDocument/2006/relationships/footer" Target="footer7.xml"/></Relationships>
</file>

<file path=word/_rels/footer7.xml.rels><?xml version="1.0" encoding="UTF-8" standalone="yes"?>
<Relationships xmlns="http://schemas.openxmlformats.org/package/2006/relationships"><Relationship Id="rId1" Type="http://schemas.openxmlformats.org/officeDocument/2006/relationships/image" Target="media/image7.jpg"/></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affichTexte.do?cidTexte=JORFTEXT000019961059" TargetMode="External"/><Relationship Id="rId1" Type="http://schemas.openxmlformats.org/officeDocument/2006/relationships/hyperlink" Target="https://op.europa.eu/fr/publication-detail/-/publication/79c0ce87-f4dc-11e6-8a35-01aa75ed71a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E992-C11C-4FE5-BD86-A1C658B4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7031</Words>
  <Characters>38672</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ABECASSIS Geoffrey</dc:creator>
  <cp:lastModifiedBy>Amandine LAUNAY</cp:lastModifiedBy>
  <cp:revision>2</cp:revision>
  <cp:lastPrinted>2023-02-02T14:59:00Z</cp:lastPrinted>
  <dcterms:created xsi:type="dcterms:W3CDTF">2023-09-13T08:37:00Z</dcterms:created>
  <dcterms:modified xsi:type="dcterms:W3CDTF">2023-09-13T08:37:00Z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-1717663177</vt:i4>
  </property>
</Properties>
</file>